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C105" w14:textId="38F04FDD" w:rsidR="00531D5F" w:rsidRPr="00595053" w:rsidRDefault="002D137C">
      <w:pPr>
        <w:tabs>
          <w:tab w:val="left" w:pos="9530"/>
        </w:tabs>
        <w:spacing w:before="21"/>
        <w:ind w:left="111"/>
        <w:rPr>
          <w:color w:val="FFFFFF" w:themeColor="background1"/>
          <w:sz w:val="26"/>
        </w:rPr>
      </w:pPr>
      <w:r w:rsidRPr="00595053">
        <w:rPr>
          <w:color w:val="FFFFFF" w:themeColor="background1"/>
          <w:spacing w:val="-30"/>
          <w:w w:val="99"/>
          <w:sz w:val="26"/>
          <w:shd w:val="clear" w:color="auto" w:fill="B1DCBE"/>
        </w:rPr>
        <w:t xml:space="preserve"> </w:t>
      </w:r>
      <w:r w:rsidRPr="00595053">
        <w:rPr>
          <w:color w:val="FFFFFF" w:themeColor="background1"/>
          <w:sz w:val="26"/>
          <w:shd w:val="clear" w:color="auto" w:fill="FFFFFF" w:themeFill="background1"/>
        </w:rPr>
        <w:t>ac</w:t>
      </w:r>
      <w:r w:rsidR="00670CCD">
        <w:rPr>
          <w:color w:val="FFFFFF" w:themeColor="background1"/>
          <w:sz w:val="26"/>
          <w:shd w:val="clear" w:color="auto" w:fill="FFFFFF" w:themeFill="background1"/>
        </w:rPr>
        <w:t>A</w:t>
      </w:r>
      <w:r w:rsidRPr="00595053">
        <w:rPr>
          <w:color w:val="FFFFFF" w:themeColor="background1"/>
          <w:sz w:val="26"/>
          <w:shd w:val="clear" w:color="auto" w:fill="FFFFFF" w:themeFill="background1"/>
        </w:rPr>
        <w:t>hment A. Terms and</w:t>
      </w:r>
      <w:r w:rsidRPr="00595053">
        <w:rPr>
          <w:color w:val="FFFFFF" w:themeColor="background1"/>
          <w:spacing w:val="-22"/>
          <w:sz w:val="26"/>
          <w:shd w:val="clear" w:color="auto" w:fill="FFFFFF" w:themeFill="background1"/>
        </w:rPr>
        <w:t xml:space="preserve"> </w:t>
      </w:r>
      <w:r w:rsidRPr="00595053">
        <w:rPr>
          <w:color w:val="FFFFFF" w:themeColor="background1"/>
          <w:sz w:val="26"/>
          <w:shd w:val="clear" w:color="auto" w:fill="FFFFFF" w:themeFill="background1"/>
        </w:rPr>
        <w:t>Definitions</w:t>
      </w:r>
      <w:r w:rsidRPr="00595053">
        <w:rPr>
          <w:color w:val="FFFFFF" w:themeColor="background1"/>
          <w:sz w:val="26"/>
          <w:shd w:val="clear" w:color="auto" w:fill="FFFFFF" w:themeFill="background1"/>
        </w:rPr>
        <w:tab/>
      </w:r>
    </w:p>
    <w:p w14:paraId="1322C106" w14:textId="7172E61A" w:rsidR="00531D5F" w:rsidRDefault="00670CCD">
      <w:pPr>
        <w:pStyle w:val="BodyText"/>
        <w:ind w:left="0"/>
        <w:rPr>
          <w:sz w:val="20"/>
        </w:rPr>
      </w:pPr>
      <w:r>
        <w:rPr>
          <w:sz w:val="20"/>
        </w:rPr>
        <w:t>RFP Attachment C: Terms and Definitions.</w:t>
      </w:r>
    </w:p>
    <w:p w14:paraId="1322C107" w14:textId="77777777" w:rsidR="00531D5F" w:rsidRDefault="00531D5F">
      <w:pPr>
        <w:pStyle w:val="BodyText"/>
        <w:spacing w:before="10" w:after="1"/>
        <w:ind w:left="0"/>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7267"/>
      </w:tblGrid>
      <w:tr w:rsidR="00531D5F" w14:paraId="1322C10A" w14:textId="77777777" w:rsidTr="00130DFD">
        <w:trPr>
          <w:trHeight w:val="273"/>
        </w:trPr>
        <w:tc>
          <w:tcPr>
            <w:tcW w:w="2277" w:type="dxa"/>
            <w:shd w:val="clear" w:color="auto" w:fill="00748B"/>
          </w:tcPr>
          <w:p w14:paraId="1322C108" w14:textId="77777777" w:rsidR="00531D5F" w:rsidRPr="00130DFD" w:rsidRDefault="002D137C">
            <w:pPr>
              <w:pStyle w:val="TableParagraph"/>
              <w:spacing w:before="15" w:line="237" w:lineRule="exact"/>
              <w:ind w:left="126" w:right="119"/>
              <w:jc w:val="center"/>
              <w:rPr>
                <w:b/>
                <w:sz w:val="20"/>
              </w:rPr>
            </w:pPr>
            <w:r w:rsidRPr="00130DFD">
              <w:rPr>
                <w:b/>
                <w:color w:val="FFFFFF"/>
                <w:sz w:val="20"/>
              </w:rPr>
              <w:t>Acronym/ Terms</w:t>
            </w:r>
          </w:p>
        </w:tc>
        <w:tc>
          <w:tcPr>
            <w:tcW w:w="7267" w:type="dxa"/>
            <w:shd w:val="clear" w:color="auto" w:fill="00748B"/>
          </w:tcPr>
          <w:p w14:paraId="1322C109" w14:textId="77777777" w:rsidR="00531D5F" w:rsidRPr="00130DFD" w:rsidRDefault="002D137C">
            <w:pPr>
              <w:pStyle w:val="TableParagraph"/>
              <w:spacing w:before="15" w:line="237" w:lineRule="exact"/>
              <w:ind w:left="3197" w:right="3191"/>
              <w:jc w:val="center"/>
              <w:rPr>
                <w:b/>
                <w:sz w:val="20"/>
              </w:rPr>
            </w:pPr>
            <w:r w:rsidRPr="00130DFD">
              <w:rPr>
                <w:b/>
                <w:color w:val="FFFFFF"/>
                <w:sz w:val="20"/>
              </w:rPr>
              <w:t>Definition</w:t>
            </w:r>
          </w:p>
        </w:tc>
      </w:tr>
      <w:tr w:rsidR="00C1424B" w14:paraId="1197BCC0" w14:textId="77777777" w:rsidTr="00130DFD">
        <w:trPr>
          <w:trHeight w:val="273"/>
        </w:trPr>
        <w:tc>
          <w:tcPr>
            <w:tcW w:w="2277" w:type="dxa"/>
            <w:shd w:val="clear" w:color="auto" w:fill="00748B"/>
          </w:tcPr>
          <w:p w14:paraId="1BDE8C05" w14:textId="77777777" w:rsidR="00C1424B" w:rsidRPr="00130DFD" w:rsidRDefault="00C1424B">
            <w:pPr>
              <w:pStyle w:val="TableParagraph"/>
              <w:spacing w:before="15" w:line="237" w:lineRule="exact"/>
              <w:ind w:left="126" w:right="119"/>
              <w:jc w:val="center"/>
              <w:rPr>
                <w:b/>
                <w:color w:val="FFFFFF"/>
                <w:sz w:val="20"/>
              </w:rPr>
            </w:pPr>
          </w:p>
        </w:tc>
        <w:tc>
          <w:tcPr>
            <w:tcW w:w="7267" w:type="dxa"/>
            <w:shd w:val="clear" w:color="auto" w:fill="00748B"/>
          </w:tcPr>
          <w:p w14:paraId="43AE524A" w14:textId="77777777" w:rsidR="00C1424B" w:rsidRPr="00130DFD" w:rsidRDefault="00C1424B">
            <w:pPr>
              <w:pStyle w:val="TableParagraph"/>
              <w:spacing w:before="15" w:line="237" w:lineRule="exact"/>
              <w:ind w:left="3197" w:right="3191"/>
              <w:jc w:val="center"/>
              <w:rPr>
                <w:b/>
                <w:color w:val="FFFFFF"/>
                <w:sz w:val="20"/>
              </w:rPr>
            </w:pPr>
          </w:p>
        </w:tc>
      </w:tr>
      <w:tr w:rsidR="00CE0460" w14:paraId="33DF0E50" w14:textId="77777777" w:rsidTr="00130DFD">
        <w:trPr>
          <w:trHeight w:val="275"/>
        </w:trPr>
        <w:tc>
          <w:tcPr>
            <w:tcW w:w="2277" w:type="dxa"/>
          </w:tcPr>
          <w:p w14:paraId="33D4D1E4" w14:textId="5A74222F" w:rsidR="00CE0460" w:rsidRDefault="00722106">
            <w:pPr>
              <w:pStyle w:val="TableParagraph"/>
              <w:spacing w:before="15" w:line="240" w:lineRule="exact"/>
              <w:ind w:left="126" w:right="123"/>
              <w:jc w:val="center"/>
              <w:rPr>
                <w:sz w:val="20"/>
              </w:rPr>
            </w:pPr>
            <w:r>
              <w:rPr>
                <w:sz w:val="20"/>
              </w:rPr>
              <w:t>BIPOC</w:t>
            </w:r>
          </w:p>
        </w:tc>
        <w:tc>
          <w:tcPr>
            <w:tcW w:w="7267" w:type="dxa"/>
          </w:tcPr>
          <w:p w14:paraId="0684E8AE" w14:textId="569D5B89" w:rsidR="00CE0460" w:rsidRDefault="00722106" w:rsidP="00722106">
            <w:pPr>
              <w:pStyle w:val="TableParagraph"/>
              <w:spacing w:before="15" w:line="240" w:lineRule="exact"/>
              <w:ind w:left="0"/>
              <w:rPr>
                <w:sz w:val="20"/>
              </w:rPr>
            </w:pPr>
            <w:r>
              <w:rPr>
                <w:sz w:val="20"/>
              </w:rPr>
              <w:t xml:space="preserve">  Black, Indigenous, People of Color</w:t>
            </w:r>
          </w:p>
        </w:tc>
      </w:tr>
      <w:tr w:rsidR="00531D5F" w14:paraId="1322C10D" w14:textId="77777777" w:rsidTr="00130DFD">
        <w:trPr>
          <w:trHeight w:val="275"/>
        </w:trPr>
        <w:tc>
          <w:tcPr>
            <w:tcW w:w="2277" w:type="dxa"/>
          </w:tcPr>
          <w:p w14:paraId="1322C10B" w14:textId="77777777" w:rsidR="00531D5F" w:rsidRDefault="002D137C">
            <w:pPr>
              <w:pStyle w:val="TableParagraph"/>
              <w:spacing w:before="15" w:line="240" w:lineRule="exact"/>
              <w:ind w:left="126" w:right="123"/>
              <w:jc w:val="center"/>
              <w:rPr>
                <w:sz w:val="20"/>
              </w:rPr>
            </w:pPr>
            <w:r>
              <w:rPr>
                <w:sz w:val="20"/>
              </w:rPr>
              <w:t>CCP</w:t>
            </w:r>
          </w:p>
        </w:tc>
        <w:tc>
          <w:tcPr>
            <w:tcW w:w="7267" w:type="dxa"/>
          </w:tcPr>
          <w:p w14:paraId="1322C10C" w14:textId="77777777" w:rsidR="00531D5F" w:rsidRDefault="002D137C">
            <w:pPr>
              <w:pStyle w:val="TableParagraph"/>
              <w:spacing w:before="15" w:line="240" w:lineRule="exact"/>
              <w:rPr>
                <w:sz w:val="20"/>
              </w:rPr>
            </w:pPr>
            <w:r>
              <w:rPr>
                <w:sz w:val="20"/>
              </w:rPr>
              <w:t>Coordinated Community Plan to prevent and end youth homelessness</w:t>
            </w:r>
          </w:p>
        </w:tc>
      </w:tr>
      <w:tr w:rsidR="00531D5F" w14:paraId="1322C114" w14:textId="77777777" w:rsidTr="00130DFD">
        <w:trPr>
          <w:trHeight w:val="1981"/>
        </w:trPr>
        <w:tc>
          <w:tcPr>
            <w:tcW w:w="2277" w:type="dxa"/>
          </w:tcPr>
          <w:p w14:paraId="1322C10E" w14:textId="77777777" w:rsidR="00531D5F" w:rsidRDefault="00531D5F">
            <w:pPr>
              <w:pStyle w:val="TableParagraph"/>
              <w:ind w:left="0"/>
              <w:rPr>
                <w:sz w:val="20"/>
              </w:rPr>
            </w:pPr>
          </w:p>
          <w:p w14:paraId="1322C10F" w14:textId="77777777" w:rsidR="00531D5F" w:rsidRDefault="00531D5F">
            <w:pPr>
              <w:pStyle w:val="TableParagraph"/>
              <w:ind w:left="0"/>
              <w:rPr>
                <w:sz w:val="20"/>
              </w:rPr>
            </w:pPr>
          </w:p>
          <w:p w14:paraId="1322C110" w14:textId="77777777" w:rsidR="00531D5F" w:rsidRDefault="00531D5F">
            <w:pPr>
              <w:pStyle w:val="TableParagraph"/>
              <w:ind w:left="0"/>
              <w:rPr>
                <w:sz w:val="20"/>
              </w:rPr>
            </w:pPr>
          </w:p>
          <w:p w14:paraId="1322C111" w14:textId="77777777" w:rsidR="00531D5F" w:rsidRDefault="002D137C">
            <w:pPr>
              <w:pStyle w:val="TableParagraph"/>
              <w:spacing w:before="137"/>
              <w:ind w:left="126" w:right="117"/>
              <w:jc w:val="center"/>
              <w:rPr>
                <w:sz w:val="20"/>
              </w:rPr>
            </w:pPr>
            <w:r>
              <w:rPr>
                <w:sz w:val="20"/>
              </w:rPr>
              <w:t>CES</w:t>
            </w:r>
          </w:p>
        </w:tc>
        <w:tc>
          <w:tcPr>
            <w:tcW w:w="7267" w:type="dxa"/>
          </w:tcPr>
          <w:p w14:paraId="1322C112" w14:textId="77777777" w:rsidR="00531D5F" w:rsidRDefault="002D137C">
            <w:pPr>
              <w:pStyle w:val="TableParagraph"/>
              <w:spacing w:before="15"/>
              <w:ind w:right="138"/>
              <w:rPr>
                <w:sz w:val="20"/>
              </w:rPr>
            </w:pPr>
            <w:r>
              <w:rPr>
                <w:sz w:val="20"/>
              </w:rPr>
              <w:t>The Coordinated Entry System is a powerful piece of a community’s housing crisis response system as it ensures that people at risk of or experiencing homelessness can readily access and navigate housing assistance– no matter where in the community they first seek help. It is designed so that households are prioritized for and matched with the appropriate intervention as quickly as possible based on their vulnerability and severity of needs. Overall, CE aims to standardize the access, assessment, prioritization, and referral process across all agency providers in a community in order</w:t>
            </w:r>
          </w:p>
          <w:p w14:paraId="1322C113" w14:textId="77777777" w:rsidR="00531D5F" w:rsidRDefault="002D137C">
            <w:pPr>
              <w:pStyle w:val="TableParagraph"/>
              <w:spacing w:line="237" w:lineRule="exact"/>
              <w:rPr>
                <w:sz w:val="20"/>
              </w:rPr>
            </w:pPr>
            <w:r>
              <w:rPr>
                <w:sz w:val="20"/>
              </w:rPr>
              <w:t>to quickly and successfully provide assistance.</w:t>
            </w:r>
          </w:p>
        </w:tc>
      </w:tr>
      <w:tr w:rsidR="00531D5F" w14:paraId="1322C119" w14:textId="77777777" w:rsidTr="00130DFD">
        <w:trPr>
          <w:trHeight w:val="763"/>
        </w:trPr>
        <w:tc>
          <w:tcPr>
            <w:tcW w:w="2277" w:type="dxa"/>
          </w:tcPr>
          <w:p w14:paraId="1322C115" w14:textId="77777777" w:rsidR="00531D5F" w:rsidRDefault="00531D5F">
            <w:pPr>
              <w:pStyle w:val="TableParagraph"/>
              <w:spacing w:before="4"/>
              <w:ind w:left="0"/>
              <w:rPr>
                <w:sz w:val="21"/>
              </w:rPr>
            </w:pPr>
          </w:p>
          <w:p w14:paraId="1322C116" w14:textId="77777777" w:rsidR="00531D5F" w:rsidRDefault="002D137C">
            <w:pPr>
              <w:pStyle w:val="TableParagraph"/>
              <w:spacing w:before="1"/>
              <w:ind w:left="126" w:right="120"/>
              <w:jc w:val="center"/>
              <w:rPr>
                <w:sz w:val="20"/>
              </w:rPr>
            </w:pPr>
            <w:r>
              <w:rPr>
                <w:sz w:val="20"/>
              </w:rPr>
              <w:t>Chronic Homelessness</w:t>
            </w:r>
          </w:p>
        </w:tc>
        <w:tc>
          <w:tcPr>
            <w:tcW w:w="7267" w:type="dxa"/>
          </w:tcPr>
          <w:p w14:paraId="1322C117" w14:textId="77777777" w:rsidR="00531D5F" w:rsidRDefault="002D137C">
            <w:pPr>
              <w:pStyle w:val="TableParagraph"/>
              <w:spacing w:before="15"/>
              <w:rPr>
                <w:sz w:val="20"/>
              </w:rPr>
            </w:pPr>
            <w:r>
              <w:rPr>
                <w:sz w:val="20"/>
              </w:rPr>
              <w:t>an unaccompanied person experiencing homelessness with a disabling condition who</w:t>
            </w:r>
          </w:p>
          <w:p w14:paraId="1322C118" w14:textId="77777777" w:rsidR="00531D5F" w:rsidRDefault="002D137C">
            <w:pPr>
              <w:pStyle w:val="TableParagraph"/>
              <w:spacing w:before="2" w:line="240" w:lineRule="atLeast"/>
              <w:ind w:right="89"/>
              <w:rPr>
                <w:sz w:val="20"/>
              </w:rPr>
            </w:pPr>
            <w:r>
              <w:rPr>
                <w:sz w:val="20"/>
              </w:rPr>
              <w:t>has been homeless for a year or more OR has had at least 4 episodes of homelessness in the past three years.</w:t>
            </w:r>
          </w:p>
        </w:tc>
      </w:tr>
      <w:tr w:rsidR="00531D5F" w14:paraId="1322C11C" w14:textId="77777777" w:rsidTr="00130DFD">
        <w:trPr>
          <w:trHeight w:val="517"/>
        </w:trPr>
        <w:tc>
          <w:tcPr>
            <w:tcW w:w="2277" w:type="dxa"/>
          </w:tcPr>
          <w:p w14:paraId="1322C11A" w14:textId="77777777" w:rsidR="00531D5F" w:rsidRDefault="002D137C">
            <w:pPr>
              <w:pStyle w:val="TableParagraph"/>
              <w:spacing w:before="138"/>
              <w:ind w:left="126" w:right="119"/>
              <w:jc w:val="center"/>
              <w:rPr>
                <w:sz w:val="20"/>
              </w:rPr>
            </w:pPr>
            <w:r>
              <w:rPr>
                <w:sz w:val="20"/>
              </w:rPr>
              <w:t>CoC</w:t>
            </w:r>
          </w:p>
        </w:tc>
        <w:tc>
          <w:tcPr>
            <w:tcW w:w="7267" w:type="dxa"/>
          </w:tcPr>
          <w:p w14:paraId="1322C11B" w14:textId="77777777" w:rsidR="00531D5F" w:rsidRDefault="002D137C">
            <w:pPr>
              <w:pStyle w:val="TableParagraph"/>
              <w:spacing w:before="15" w:line="240" w:lineRule="atLeast"/>
              <w:ind w:right="138"/>
              <w:rPr>
                <w:sz w:val="20"/>
              </w:rPr>
            </w:pPr>
            <w:r>
              <w:rPr>
                <w:sz w:val="20"/>
              </w:rPr>
              <w:t>A Continuum of Care (CoC) is a regional or local planning body that coordinates housing and services funding for homeless families and individuals.</w:t>
            </w:r>
          </w:p>
        </w:tc>
      </w:tr>
      <w:tr w:rsidR="00531D5F" w14:paraId="1322C122" w14:textId="77777777" w:rsidTr="00130DFD">
        <w:trPr>
          <w:trHeight w:val="1250"/>
        </w:trPr>
        <w:tc>
          <w:tcPr>
            <w:tcW w:w="2277" w:type="dxa"/>
          </w:tcPr>
          <w:p w14:paraId="1322C11D" w14:textId="77777777" w:rsidR="00531D5F" w:rsidRDefault="00531D5F">
            <w:pPr>
              <w:pStyle w:val="TableParagraph"/>
              <w:ind w:left="0"/>
              <w:rPr>
                <w:sz w:val="20"/>
              </w:rPr>
            </w:pPr>
          </w:p>
          <w:p w14:paraId="1322C11E" w14:textId="77777777" w:rsidR="00531D5F" w:rsidRDefault="00531D5F">
            <w:pPr>
              <w:pStyle w:val="TableParagraph"/>
              <w:spacing w:before="4"/>
              <w:ind w:left="0"/>
              <w:rPr>
                <w:sz w:val="21"/>
              </w:rPr>
            </w:pPr>
          </w:p>
          <w:p w14:paraId="1322C11F" w14:textId="77777777" w:rsidR="00531D5F" w:rsidRDefault="002D137C">
            <w:pPr>
              <w:pStyle w:val="TableParagraph"/>
              <w:spacing w:before="1"/>
              <w:ind w:left="126" w:right="121"/>
              <w:jc w:val="center"/>
              <w:rPr>
                <w:sz w:val="20"/>
              </w:rPr>
            </w:pPr>
            <w:r>
              <w:rPr>
                <w:sz w:val="20"/>
              </w:rPr>
              <w:t>CoC Lead Agency</w:t>
            </w:r>
          </w:p>
        </w:tc>
        <w:tc>
          <w:tcPr>
            <w:tcW w:w="7267" w:type="dxa"/>
          </w:tcPr>
          <w:p w14:paraId="1322C120" w14:textId="77777777" w:rsidR="00531D5F" w:rsidRDefault="002D137C">
            <w:pPr>
              <w:pStyle w:val="TableParagraph"/>
              <w:spacing w:before="15"/>
              <w:ind w:right="89"/>
              <w:rPr>
                <w:sz w:val="20"/>
              </w:rPr>
            </w:pPr>
            <w:r>
              <w:rPr>
                <w:sz w:val="20"/>
              </w:rPr>
              <w:t>Agency that is designated to carry out the activities of the CoC or grant including fiscal and compliance activities. The Lead Agency is tasked by the U.S. Department of Housing and Urban Development (HUD) with developing a systemic response to homelessness, and to increase capacity and improve rapid re-housing (RRH) practices</w:t>
            </w:r>
          </w:p>
          <w:p w14:paraId="1322C121" w14:textId="77777777" w:rsidR="00531D5F" w:rsidRDefault="002D137C">
            <w:pPr>
              <w:pStyle w:val="TableParagraph"/>
              <w:spacing w:before="1" w:line="237" w:lineRule="exact"/>
              <w:rPr>
                <w:sz w:val="20"/>
              </w:rPr>
            </w:pPr>
            <w:r>
              <w:rPr>
                <w:sz w:val="20"/>
              </w:rPr>
              <w:t>and performance.</w:t>
            </w:r>
          </w:p>
        </w:tc>
      </w:tr>
      <w:tr w:rsidR="00531D5F" w14:paraId="1322C125" w14:textId="77777777" w:rsidTr="00130DFD">
        <w:trPr>
          <w:trHeight w:val="762"/>
        </w:trPr>
        <w:tc>
          <w:tcPr>
            <w:tcW w:w="2277" w:type="dxa"/>
          </w:tcPr>
          <w:p w14:paraId="1322C123" w14:textId="77777777" w:rsidR="00531D5F" w:rsidRDefault="002D137C">
            <w:pPr>
              <w:pStyle w:val="TableParagraph"/>
              <w:spacing w:before="138"/>
              <w:ind w:left="962" w:right="112" w:hanging="824"/>
              <w:rPr>
                <w:sz w:val="20"/>
              </w:rPr>
            </w:pPr>
            <w:r>
              <w:rPr>
                <w:sz w:val="20"/>
              </w:rPr>
              <w:t>Couch surfing/Doubled Up</w:t>
            </w:r>
          </w:p>
        </w:tc>
        <w:tc>
          <w:tcPr>
            <w:tcW w:w="7267" w:type="dxa"/>
          </w:tcPr>
          <w:p w14:paraId="1322C124" w14:textId="77777777" w:rsidR="00531D5F" w:rsidRDefault="002D137C">
            <w:pPr>
              <w:pStyle w:val="TableParagraph"/>
              <w:spacing w:before="15" w:line="240" w:lineRule="atLeast"/>
              <w:ind w:right="744"/>
              <w:jc w:val="both"/>
              <w:rPr>
                <w:sz w:val="20"/>
              </w:rPr>
            </w:pPr>
            <w:r>
              <w:rPr>
                <w:sz w:val="20"/>
              </w:rPr>
              <w:t>Having one or more adults in addition to the head of household and spouse or partner,</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an</w:t>
            </w:r>
            <w:r>
              <w:rPr>
                <w:spacing w:val="-3"/>
                <w:sz w:val="20"/>
              </w:rPr>
              <w:t xml:space="preserve"> </w:t>
            </w:r>
            <w:r>
              <w:rPr>
                <w:sz w:val="20"/>
              </w:rPr>
              <w:t>adult</w:t>
            </w:r>
            <w:r>
              <w:rPr>
                <w:spacing w:val="-2"/>
                <w:sz w:val="20"/>
              </w:rPr>
              <w:t xml:space="preserve"> </w:t>
            </w:r>
            <w:r>
              <w:rPr>
                <w:sz w:val="20"/>
              </w:rPr>
              <w:t>child</w:t>
            </w:r>
            <w:r>
              <w:rPr>
                <w:spacing w:val="-4"/>
                <w:sz w:val="20"/>
              </w:rPr>
              <w:t xml:space="preserve"> </w:t>
            </w:r>
            <w:r>
              <w:rPr>
                <w:sz w:val="20"/>
              </w:rPr>
              <w:t>living</w:t>
            </w:r>
            <w:r>
              <w:rPr>
                <w:spacing w:val="-4"/>
                <w:sz w:val="20"/>
              </w:rPr>
              <w:t xml:space="preserve"> </w:t>
            </w:r>
            <w:r>
              <w:rPr>
                <w:sz w:val="20"/>
              </w:rPr>
              <w:t>at</w:t>
            </w:r>
            <w:r>
              <w:rPr>
                <w:spacing w:val="-2"/>
                <w:sz w:val="20"/>
              </w:rPr>
              <w:t xml:space="preserve"> </w:t>
            </w:r>
            <w:r>
              <w:rPr>
                <w:sz w:val="20"/>
              </w:rPr>
              <w:t>home,</w:t>
            </w:r>
            <w:r>
              <w:rPr>
                <w:spacing w:val="-3"/>
                <w:sz w:val="20"/>
              </w:rPr>
              <w:t xml:space="preserve"> </w:t>
            </w:r>
            <w:r>
              <w:rPr>
                <w:sz w:val="20"/>
              </w:rPr>
              <w:t>two</w:t>
            </w:r>
            <w:r>
              <w:rPr>
                <w:spacing w:val="-2"/>
                <w:sz w:val="20"/>
              </w:rPr>
              <w:t xml:space="preserve"> </w:t>
            </w:r>
            <w:r>
              <w:rPr>
                <w:sz w:val="20"/>
              </w:rPr>
              <w:t>related</w:t>
            </w:r>
            <w:r>
              <w:rPr>
                <w:spacing w:val="-3"/>
                <w:sz w:val="20"/>
              </w:rPr>
              <w:t xml:space="preserve"> </w:t>
            </w:r>
            <w:r>
              <w:rPr>
                <w:sz w:val="20"/>
              </w:rPr>
              <w:t>or</w:t>
            </w:r>
            <w:r>
              <w:rPr>
                <w:spacing w:val="-1"/>
                <w:sz w:val="20"/>
              </w:rPr>
              <w:t xml:space="preserve"> </w:t>
            </w:r>
            <w:r>
              <w:rPr>
                <w:sz w:val="20"/>
              </w:rPr>
              <w:t>unrelated</w:t>
            </w:r>
            <w:r>
              <w:rPr>
                <w:spacing w:val="-2"/>
                <w:sz w:val="20"/>
              </w:rPr>
              <w:t xml:space="preserve"> </w:t>
            </w:r>
            <w:r>
              <w:rPr>
                <w:sz w:val="20"/>
              </w:rPr>
              <w:t>families residing together, or a parent living with an adult</w:t>
            </w:r>
            <w:r>
              <w:rPr>
                <w:spacing w:val="-4"/>
                <w:sz w:val="20"/>
              </w:rPr>
              <w:t xml:space="preserve"> </w:t>
            </w:r>
            <w:r>
              <w:rPr>
                <w:sz w:val="20"/>
              </w:rPr>
              <w:t>child.</w:t>
            </w:r>
          </w:p>
        </w:tc>
      </w:tr>
      <w:tr w:rsidR="00531D5F" w14:paraId="1322C129" w14:textId="77777777" w:rsidTr="00130DFD">
        <w:trPr>
          <w:trHeight w:val="645"/>
        </w:trPr>
        <w:tc>
          <w:tcPr>
            <w:tcW w:w="2277" w:type="dxa"/>
          </w:tcPr>
          <w:p w14:paraId="1322C126" w14:textId="77777777" w:rsidR="00531D5F" w:rsidRDefault="00531D5F">
            <w:pPr>
              <w:pStyle w:val="TableParagraph"/>
              <w:spacing w:before="7"/>
              <w:ind w:left="0"/>
              <w:rPr>
                <w:sz w:val="16"/>
              </w:rPr>
            </w:pPr>
          </w:p>
          <w:p w14:paraId="1322C127" w14:textId="77777777" w:rsidR="00531D5F" w:rsidRDefault="002D137C">
            <w:pPr>
              <w:pStyle w:val="TableParagraph"/>
              <w:ind w:left="126" w:right="119"/>
              <w:jc w:val="center"/>
              <w:rPr>
                <w:sz w:val="20"/>
              </w:rPr>
            </w:pPr>
            <w:r>
              <w:rPr>
                <w:sz w:val="20"/>
              </w:rPr>
              <w:t>Coordinated Access</w:t>
            </w:r>
          </w:p>
        </w:tc>
        <w:tc>
          <w:tcPr>
            <w:tcW w:w="7267" w:type="dxa"/>
          </w:tcPr>
          <w:p w14:paraId="1322C128" w14:textId="77777777" w:rsidR="00531D5F" w:rsidRDefault="002D137C">
            <w:pPr>
              <w:pStyle w:val="TableParagraph"/>
              <w:spacing w:before="80"/>
              <w:ind w:right="158"/>
              <w:rPr>
                <w:sz w:val="20"/>
              </w:rPr>
            </w:pPr>
            <w:r>
              <w:rPr>
                <w:sz w:val="20"/>
              </w:rPr>
              <w:t>A process through which individuals and families experiencing homelessness or at risk of homelessness are provided access to housing and support services.</w:t>
            </w:r>
          </w:p>
        </w:tc>
      </w:tr>
      <w:tr w:rsidR="00531D5F" w14:paraId="1322C12D" w14:textId="77777777" w:rsidTr="00130DFD">
        <w:trPr>
          <w:trHeight w:val="762"/>
        </w:trPr>
        <w:tc>
          <w:tcPr>
            <w:tcW w:w="2277" w:type="dxa"/>
          </w:tcPr>
          <w:p w14:paraId="1322C12A" w14:textId="77777777" w:rsidR="00531D5F" w:rsidRDefault="00531D5F">
            <w:pPr>
              <w:pStyle w:val="TableParagraph"/>
              <w:spacing w:before="4"/>
              <w:ind w:left="0"/>
              <w:rPr>
                <w:sz w:val="21"/>
              </w:rPr>
            </w:pPr>
          </w:p>
          <w:p w14:paraId="1322C12B" w14:textId="77777777" w:rsidR="00531D5F" w:rsidRDefault="002D137C">
            <w:pPr>
              <w:pStyle w:val="TableParagraph"/>
              <w:ind w:left="126" w:right="120"/>
              <w:jc w:val="center"/>
              <w:rPr>
                <w:sz w:val="20"/>
              </w:rPr>
            </w:pPr>
            <w:r>
              <w:rPr>
                <w:sz w:val="20"/>
              </w:rPr>
              <w:t>DFPS</w:t>
            </w:r>
          </w:p>
        </w:tc>
        <w:tc>
          <w:tcPr>
            <w:tcW w:w="7267" w:type="dxa"/>
          </w:tcPr>
          <w:p w14:paraId="1322C12C" w14:textId="77777777" w:rsidR="00531D5F" w:rsidRDefault="002D137C">
            <w:pPr>
              <w:pStyle w:val="TableParagraph"/>
              <w:spacing w:before="15" w:line="240" w:lineRule="atLeast"/>
              <w:ind w:right="165"/>
              <w:rPr>
                <w:sz w:val="20"/>
              </w:rPr>
            </w:pPr>
            <w:r>
              <w:rPr>
                <w:sz w:val="20"/>
              </w:rPr>
              <w:t>The Texas Department of Family and Protective Services (DFPS) works with communities to promote safe and healthy families and protect children and vulnerable adults from abuse, neglect, and exploitation.</w:t>
            </w:r>
          </w:p>
        </w:tc>
      </w:tr>
      <w:tr w:rsidR="00531D5F" w14:paraId="1322C133" w14:textId="77777777" w:rsidTr="00130DFD">
        <w:trPr>
          <w:trHeight w:val="1494"/>
        </w:trPr>
        <w:tc>
          <w:tcPr>
            <w:tcW w:w="2277" w:type="dxa"/>
          </w:tcPr>
          <w:p w14:paraId="1322C12E" w14:textId="77777777" w:rsidR="00531D5F" w:rsidRDefault="00531D5F">
            <w:pPr>
              <w:pStyle w:val="TableParagraph"/>
              <w:ind w:left="0"/>
              <w:rPr>
                <w:sz w:val="20"/>
              </w:rPr>
            </w:pPr>
          </w:p>
          <w:p w14:paraId="1322C12F" w14:textId="77777777" w:rsidR="00531D5F" w:rsidRDefault="00531D5F">
            <w:pPr>
              <w:pStyle w:val="TableParagraph"/>
              <w:ind w:left="0"/>
              <w:rPr>
                <w:sz w:val="20"/>
              </w:rPr>
            </w:pPr>
          </w:p>
          <w:p w14:paraId="1322C130" w14:textId="77777777" w:rsidR="00531D5F" w:rsidRDefault="002D137C">
            <w:pPr>
              <w:pStyle w:val="TableParagraph"/>
              <w:spacing w:before="137"/>
              <w:ind w:left="126" w:right="122"/>
              <w:jc w:val="center"/>
              <w:rPr>
                <w:sz w:val="20"/>
              </w:rPr>
            </w:pPr>
            <w:r>
              <w:rPr>
                <w:sz w:val="20"/>
              </w:rPr>
              <w:t>Diversion Program</w:t>
            </w:r>
          </w:p>
        </w:tc>
        <w:tc>
          <w:tcPr>
            <w:tcW w:w="7267" w:type="dxa"/>
          </w:tcPr>
          <w:p w14:paraId="1322C131" w14:textId="77777777" w:rsidR="00531D5F" w:rsidRDefault="002D137C">
            <w:pPr>
              <w:pStyle w:val="TableParagraph"/>
              <w:spacing w:before="15"/>
              <w:ind w:right="165"/>
              <w:rPr>
                <w:sz w:val="20"/>
              </w:rPr>
            </w:pPr>
            <w:r>
              <w:rPr>
                <w:sz w:val="20"/>
              </w:rPr>
              <w:t>Is “an intervention designed to immediately address the needs of someone who has just lost their housing and become homeless. Diversion is a client-driven approach; its goal is to help the person or household find safe alternative housing immediately, rather than entering shelter or experiencing unsheltered homelessness. It is intended to ensure that the homelessness experience is as brief as possible, to prevent</w:t>
            </w:r>
          </w:p>
          <w:p w14:paraId="1322C132" w14:textId="77777777" w:rsidR="00531D5F" w:rsidRDefault="002D137C">
            <w:pPr>
              <w:pStyle w:val="TableParagraph"/>
              <w:spacing w:before="1" w:line="237" w:lineRule="exact"/>
              <w:rPr>
                <w:sz w:val="20"/>
              </w:rPr>
            </w:pPr>
            <w:r>
              <w:rPr>
                <w:sz w:val="20"/>
              </w:rPr>
              <w:t>unsheltered homelessness, and to avert stays in shelter.</w:t>
            </w:r>
          </w:p>
        </w:tc>
      </w:tr>
      <w:tr w:rsidR="00531D5F" w14:paraId="1322C138" w14:textId="77777777" w:rsidTr="00130DFD">
        <w:trPr>
          <w:trHeight w:val="1005"/>
        </w:trPr>
        <w:tc>
          <w:tcPr>
            <w:tcW w:w="2277" w:type="dxa"/>
          </w:tcPr>
          <w:p w14:paraId="1322C134" w14:textId="77777777" w:rsidR="00531D5F" w:rsidRDefault="00531D5F">
            <w:pPr>
              <w:pStyle w:val="TableParagraph"/>
              <w:ind w:left="0"/>
              <w:rPr>
                <w:sz w:val="20"/>
              </w:rPr>
            </w:pPr>
          </w:p>
          <w:p w14:paraId="1322C135" w14:textId="77777777" w:rsidR="00531D5F" w:rsidRDefault="002D137C">
            <w:pPr>
              <w:pStyle w:val="TableParagraph"/>
              <w:spacing w:before="139"/>
              <w:ind w:left="126" w:right="116"/>
              <w:jc w:val="center"/>
              <w:rPr>
                <w:sz w:val="20"/>
              </w:rPr>
            </w:pPr>
            <w:r>
              <w:rPr>
                <w:sz w:val="20"/>
              </w:rPr>
              <w:t>ES</w:t>
            </w:r>
          </w:p>
        </w:tc>
        <w:tc>
          <w:tcPr>
            <w:tcW w:w="7267" w:type="dxa"/>
          </w:tcPr>
          <w:p w14:paraId="1322C136" w14:textId="77777777" w:rsidR="00531D5F" w:rsidRDefault="002D137C">
            <w:pPr>
              <w:pStyle w:val="TableParagraph"/>
              <w:spacing w:before="15"/>
              <w:rPr>
                <w:sz w:val="20"/>
              </w:rPr>
            </w:pPr>
            <w:r>
              <w:rPr>
                <w:sz w:val="20"/>
              </w:rPr>
              <w:t>Emergency shelter means any facility, the primary purpose of which is to provide a temporary shelter for the homeless in general or for specific populations of the homeless and which does not require occupants to sign leases or occupancy</w:t>
            </w:r>
          </w:p>
          <w:p w14:paraId="1322C137" w14:textId="77777777" w:rsidR="00531D5F" w:rsidRDefault="002D137C">
            <w:pPr>
              <w:pStyle w:val="TableParagraph"/>
              <w:spacing w:line="237" w:lineRule="exact"/>
              <w:rPr>
                <w:sz w:val="20"/>
              </w:rPr>
            </w:pPr>
            <w:r>
              <w:rPr>
                <w:sz w:val="20"/>
              </w:rPr>
              <w:t>agreements.</w:t>
            </w:r>
          </w:p>
        </w:tc>
      </w:tr>
      <w:tr w:rsidR="00531D5F" w14:paraId="1322C13D" w14:textId="77777777" w:rsidTr="00130DFD">
        <w:trPr>
          <w:trHeight w:val="1008"/>
        </w:trPr>
        <w:tc>
          <w:tcPr>
            <w:tcW w:w="2277" w:type="dxa"/>
          </w:tcPr>
          <w:p w14:paraId="1322C139" w14:textId="77777777" w:rsidR="00531D5F" w:rsidRDefault="00531D5F">
            <w:pPr>
              <w:pStyle w:val="TableParagraph"/>
              <w:ind w:left="0"/>
              <w:rPr>
                <w:sz w:val="20"/>
              </w:rPr>
            </w:pPr>
          </w:p>
          <w:p w14:paraId="1322C13A" w14:textId="77777777" w:rsidR="00531D5F" w:rsidRDefault="002D137C">
            <w:pPr>
              <w:pStyle w:val="TableParagraph"/>
              <w:spacing w:before="139"/>
              <w:ind w:left="126" w:right="121"/>
              <w:jc w:val="center"/>
              <w:rPr>
                <w:sz w:val="20"/>
              </w:rPr>
            </w:pPr>
            <w:r>
              <w:rPr>
                <w:sz w:val="20"/>
              </w:rPr>
              <w:t>ESG</w:t>
            </w:r>
          </w:p>
        </w:tc>
        <w:tc>
          <w:tcPr>
            <w:tcW w:w="7267" w:type="dxa"/>
          </w:tcPr>
          <w:p w14:paraId="1322C13B" w14:textId="77777777" w:rsidR="00531D5F" w:rsidRDefault="002D137C">
            <w:pPr>
              <w:pStyle w:val="TableParagraph"/>
              <w:spacing w:before="18"/>
              <w:rPr>
                <w:sz w:val="20"/>
              </w:rPr>
            </w:pPr>
            <w:r>
              <w:rPr>
                <w:sz w:val="20"/>
              </w:rPr>
              <w:t>Emergency Solutions Grant is a grant program which provides individuals experiencing homelessness with basic shelter and essential supportive services. Eligible activities include funding for essential services, operations, and homeless prevention activities</w:t>
            </w:r>
          </w:p>
          <w:p w14:paraId="1322C13C" w14:textId="77777777" w:rsidR="00531D5F" w:rsidRDefault="002D137C">
            <w:pPr>
              <w:pStyle w:val="TableParagraph"/>
              <w:spacing w:line="237" w:lineRule="exact"/>
              <w:rPr>
                <w:sz w:val="20"/>
              </w:rPr>
            </w:pPr>
            <w:r>
              <w:rPr>
                <w:sz w:val="20"/>
              </w:rPr>
              <w:t>to emergency shelters, transitional housing, and day/night shelters.</w:t>
            </w:r>
          </w:p>
        </w:tc>
      </w:tr>
      <w:tr w:rsidR="00531D5F" w14:paraId="1322C142" w14:textId="77777777" w:rsidTr="00130DFD">
        <w:trPr>
          <w:trHeight w:val="762"/>
        </w:trPr>
        <w:tc>
          <w:tcPr>
            <w:tcW w:w="2277" w:type="dxa"/>
          </w:tcPr>
          <w:p w14:paraId="1322C13E" w14:textId="77777777" w:rsidR="00531D5F" w:rsidRDefault="00531D5F">
            <w:pPr>
              <w:pStyle w:val="TableParagraph"/>
              <w:spacing w:before="4"/>
              <w:ind w:left="0"/>
              <w:rPr>
                <w:sz w:val="21"/>
              </w:rPr>
            </w:pPr>
          </w:p>
          <w:p w14:paraId="1322C13F" w14:textId="77777777" w:rsidR="00531D5F" w:rsidRDefault="002D137C">
            <w:pPr>
              <w:pStyle w:val="TableParagraph"/>
              <w:ind w:left="126" w:right="117"/>
              <w:jc w:val="center"/>
              <w:rPr>
                <w:sz w:val="20"/>
              </w:rPr>
            </w:pPr>
            <w:r>
              <w:rPr>
                <w:sz w:val="20"/>
              </w:rPr>
              <w:t>HIC</w:t>
            </w:r>
          </w:p>
        </w:tc>
        <w:tc>
          <w:tcPr>
            <w:tcW w:w="7267" w:type="dxa"/>
          </w:tcPr>
          <w:p w14:paraId="1322C140" w14:textId="77777777" w:rsidR="00531D5F" w:rsidRDefault="002D137C">
            <w:pPr>
              <w:pStyle w:val="TableParagraph"/>
              <w:spacing w:before="15"/>
              <w:ind w:right="209"/>
              <w:rPr>
                <w:sz w:val="20"/>
              </w:rPr>
            </w:pPr>
            <w:r>
              <w:rPr>
                <w:sz w:val="20"/>
              </w:rPr>
              <w:t>Housing Inventory Count is a Point In Time inventory of provider programs within the CoC that provide beds and units dedicated</w:t>
            </w:r>
          </w:p>
          <w:p w14:paraId="1322C141" w14:textId="77777777" w:rsidR="00531D5F" w:rsidRDefault="002D137C">
            <w:pPr>
              <w:pStyle w:val="TableParagraph"/>
              <w:spacing w:before="2" w:line="237" w:lineRule="exact"/>
              <w:rPr>
                <w:sz w:val="20"/>
              </w:rPr>
            </w:pPr>
            <w:r>
              <w:rPr>
                <w:sz w:val="20"/>
              </w:rPr>
              <w:t>to serve persons experiencing homelessness</w:t>
            </w:r>
          </w:p>
        </w:tc>
      </w:tr>
    </w:tbl>
    <w:p w14:paraId="1322C143" w14:textId="77777777" w:rsidR="00531D5F" w:rsidRDefault="00531D5F">
      <w:pPr>
        <w:spacing w:line="237" w:lineRule="exact"/>
        <w:rPr>
          <w:sz w:val="20"/>
        </w:rPr>
        <w:sectPr w:rsidR="00531D5F">
          <w:type w:val="continuous"/>
          <w:pgSz w:w="12240" w:h="15840"/>
          <w:pgMar w:top="1460" w:right="1280" w:bottom="280" w:left="130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267"/>
      </w:tblGrid>
      <w:tr w:rsidR="00531D5F" w14:paraId="1322C148" w14:textId="77777777">
        <w:trPr>
          <w:trHeight w:val="763"/>
        </w:trPr>
        <w:tc>
          <w:tcPr>
            <w:tcW w:w="2158" w:type="dxa"/>
          </w:tcPr>
          <w:p w14:paraId="1322C144" w14:textId="77777777" w:rsidR="00531D5F" w:rsidRDefault="00531D5F">
            <w:pPr>
              <w:pStyle w:val="TableParagraph"/>
              <w:spacing w:before="4"/>
              <w:ind w:left="0"/>
              <w:rPr>
                <w:sz w:val="21"/>
              </w:rPr>
            </w:pPr>
          </w:p>
          <w:p w14:paraId="1322C145" w14:textId="77777777" w:rsidR="00531D5F" w:rsidRDefault="002D137C">
            <w:pPr>
              <w:pStyle w:val="TableParagraph"/>
              <w:ind w:left="126" w:right="120"/>
              <w:jc w:val="center"/>
              <w:rPr>
                <w:sz w:val="20"/>
              </w:rPr>
            </w:pPr>
            <w:r>
              <w:rPr>
                <w:sz w:val="20"/>
              </w:rPr>
              <w:t>HMIS</w:t>
            </w:r>
          </w:p>
        </w:tc>
        <w:tc>
          <w:tcPr>
            <w:tcW w:w="7267" w:type="dxa"/>
          </w:tcPr>
          <w:p w14:paraId="1322C146" w14:textId="77777777" w:rsidR="00531D5F" w:rsidRDefault="002D137C">
            <w:pPr>
              <w:pStyle w:val="TableParagraph"/>
              <w:spacing w:before="15"/>
              <w:rPr>
                <w:sz w:val="20"/>
              </w:rPr>
            </w:pPr>
            <w:r>
              <w:rPr>
                <w:sz w:val="20"/>
              </w:rPr>
              <w:t>Homeless Management Information System, an information technology system used</w:t>
            </w:r>
          </w:p>
          <w:p w14:paraId="1322C147" w14:textId="77777777" w:rsidR="00531D5F" w:rsidRDefault="002D137C">
            <w:pPr>
              <w:pStyle w:val="TableParagraph"/>
              <w:spacing w:before="2" w:line="240" w:lineRule="atLeast"/>
              <w:ind w:right="750"/>
              <w:rPr>
                <w:sz w:val="20"/>
              </w:rPr>
            </w:pPr>
            <w:r>
              <w:rPr>
                <w:sz w:val="20"/>
              </w:rPr>
              <w:t>to collect client-level data and data on the provision of housing and services to homeless individuals and families and people at risk of homelessness.</w:t>
            </w:r>
          </w:p>
        </w:tc>
      </w:tr>
      <w:tr w:rsidR="00531D5F" w14:paraId="1322C14D" w14:textId="77777777">
        <w:trPr>
          <w:trHeight w:val="1005"/>
        </w:trPr>
        <w:tc>
          <w:tcPr>
            <w:tcW w:w="2158" w:type="dxa"/>
          </w:tcPr>
          <w:p w14:paraId="1322C149" w14:textId="77777777" w:rsidR="00531D5F" w:rsidRDefault="00531D5F">
            <w:pPr>
              <w:pStyle w:val="TableParagraph"/>
              <w:ind w:left="0"/>
              <w:rPr>
                <w:sz w:val="20"/>
              </w:rPr>
            </w:pPr>
          </w:p>
          <w:p w14:paraId="1322C14A" w14:textId="77777777" w:rsidR="00531D5F" w:rsidRDefault="002D137C">
            <w:pPr>
              <w:pStyle w:val="TableParagraph"/>
              <w:spacing w:before="139"/>
              <w:ind w:left="126" w:right="118"/>
              <w:jc w:val="center"/>
              <w:rPr>
                <w:sz w:val="20"/>
              </w:rPr>
            </w:pPr>
            <w:r>
              <w:rPr>
                <w:sz w:val="20"/>
              </w:rPr>
              <w:t>Host Home</w:t>
            </w:r>
          </w:p>
        </w:tc>
        <w:tc>
          <w:tcPr>
            <w:tcW w:w="7267" w:type="dxa"/>
          </w:tcPr>
          <w:p w14:paraId="1322C14B" w14:textId="77777777" w:rsidR="00531D5F" w:rsidRDefault="002D137C">
            <w:pPr>
              <w:pStyle w:val="TableParagraph"/>
              <w:spacing w:before="15"/>
              <w:ind w:firstLine="45"/>
              <w:rPr>
                <w:sz w:val="20"/>
              </w:rPr>
            </w:pPr>
            <w:r>
              <w:rPr>
                <w:sz w:val="20"/>
              </w:rPr>
              <w:t>A private home associated with a host home program that volunteers to host youth in need of temporary housing. Host homes offer youth a safe alternative to shelters on either a short- or long-term basis and are paired with supportive services provided by</w:t>
            </w:r>
          </w:p>
          <w:p w14:paraId="1322C14C" w14:textId="77777777" w:rsidR="00531D5F" w:rsidRDefault="002D137C">
            <w:pPr>
              <w:pStyle w:val="TableParagraph"/>
              <w:spacing w:line="237" w:lineRule="exact"/>
              <w:rPr>
                <w:sz w:val="20"/>
              </w:rPr>
            </w:pPr>
            <w:r>
              <w:rPr>
                <w:sz w:val="20"/>
              </w:rPr>
              <w:t>a service agency.</w:t>
            </w:r>
          </w:p>
        </w:tc>
      </w:tr>
      <w:tr w:rsidR="00531D5F" w14:paraId="1322C155" w14:textId="77777777">
        <w:trPr>
          <w:trHeight w:val="2229"/>
        </w:trPr>
        <w:tc>
          <w:tcPr>
            <w:tcW w:w="2158" w:type="dxa"/>
          </w:tcPr>
          <w:p w14:paraId="1322C14E" w14:textId="77777777" w:rsidR="00531D5F" w:rsidRDefault="00531D5F">
            <w:pPr>
              <w:pStyle w:val="TableParagraph"/>
              <w:ind w:left="0"/>
              <w:rPr>
                <w:sz w:val="20"/>
              </w:rPr>
            </w:pPr>
          </w:p>
          <w:p w14:paraId="1322C14F" w14:textId="77777777" w:rsidR="00531D5F" w:rsidRDefault="00531D5F">
            <w:pPr>
              <w:pStyle w:val="TableParagraph"/>
              <w:ind w:left="0"/>
              <w:rPr>
                <w:sz w:val="20"/>
              </w:rPr>
            </w:pPr>
          </w:p>
          <w:p w14:paraId="1322C150" w14:textId="77777777" w:rsidR="00531D5F" w:rsidRDefault="00531D5F">
            <w:pPr>
              <w:pStyle w:val="TableParagraph"/>
              <w:ind w:left="0"/>
              <w:rPr>
                <w:sz w:val="20"/>
              </w:rPr>
            </w:pPr>
          </w:p>
          <w:p w14:paraId="1322C151" w14:textId="77777777" w:rsidR="00531D5F" w:rsidRDefault="00531D5F">
            <w:pPr>
              <w:pStyle w:val="TableParagraph"/>
              <w:spacing w:before="3"/>
              <w:ind w:left="0"/>
              <w:rPr>
                <w:sz w:val="21"/>
              </w:rPr>
            </w:pPr>
          </w:p>
          <w:p w14:paraId="1322C152" w14:textId="77777777" w:rsidR="00531D5F" w:rsidRDefault="002D137C">
            <w:pPr>
              <w:pStyle w:val="TableParagraph"/>
              <w:spacing w:before="1"/>
              <w:ind w:left="126" w:right="119"/>
              <w:jc w:val="center"/>
              <w:rPr>
                <w:sz w:val="20"/>
              </w:rPr>
            </w:pPr>
            <w:r>
              <w:rPr>
                <w:sz w:val="20"/>
              </w:rPr>
              <w:t>Housing First</w:t>
            </w:r>
          </w:p>
        </w:tc>
        <w:tc>
          <w:tcPr>
            <w:tcW w:w="7267" w:type="dxa"/>
          </w:tcPr>
          <w:p w14:paraId="1322C153" w14:textId="77777777" w:rsidR="00531D5F" w:rsidRDefault="002D137C">
            <w:pPr>
              <w:pStyle w:val="TableParagraph"/>
              <w:spacing w:before="18"/>
              <w:ind w:right="89"/>
              <w:rPr>
                <w:sz w:val="20"/>
              </w:rPr>
            </w:pPr>
            <w:r>
              <w:rPr>
                <w:sz w:val="20"/>
              </w:rPr>
              <w:t>A homeless assistance approach that prioritizes providing permanent housing to people experiencing homelessness, thus ending their homelessness, and serving as a platform from which they can pursue personal goals and improve their quality of life. This approach is guided by the belief that people need basic necessities like food and a place to live before attending to anything less critical, such as getting a job, budgeting properly, or attending to substance use issues. Additionally, Housing First is based on the theory that client choice is valuable in housing selection and supportive service participation, and that exercising that choice is likely to make a person more</w:t>
            </w:r>
          </w:p>
          <w:p w14:paraId="1322C154" w14:textId="77777777" w:rsidR="00531D5F" w:rsidRDefault="002D137C">
            <w:pPr>
              <w:pStyle w:val="TableParagraph"/>
              <w:spacing w:line="239" w:lineRule="exact"/>
              <w:rPr>
                <w:sz w:val="20"/>
              </w:rPr>
            </w:pPr>
            <w:r>
              <w:rPr>
                <w:sz w:val="20"/>
              </w:rPr>
              <w:t>successful in remaining housed and improving their life.</w:t>
            </w:r>
          </w:p>
        </w:tc>
      </w:tr>
      <w:tr w:rsidR="00531D5F" w14:paraId="1322C158" w14:textId="77777777">
        <w:trPr>
          <w:trHeight w:val="335"/>
        </w:trPr>
        <w:tc>
          <w:tcPr>
            <w:tcW w:w="2158" w:type="dxa"/>
          </w:tcPr>
          <w:p w14:paraId="1322C156" w14:textId="77777777" w:rsidR="00531D5F" w:rsidRDefault="002D137C">
            <w:pPr>
              <w:pStyle w:val="TableParagraph"/>
              <w:spacing w:before="47"/>
              <w:ind w:left="126" w:right="120"/>
              <w:jc w:val="center"/>
              <w:rPr>
                <w:sz w:val="20"/>
              </w:rPr>
            </w:pPr>
            <w:r>
              <w:rPr>
                <w:sz w:val="20"/>
              </w:rPr>
              <w:t>HUD</w:t>
            </w:r>
          </w:p>
        </w:tc>
        <w:tc>
          <w:tcPr>
            <w:tcW w:w="7267" w:type="dxa"/>
          </w:tcPr>
          <w:p w14:paraId="1322C157" w14:textId="77777777" w:rsidR="00531D5F" w:rsidRDefault="002D137C">
            <w:pPr>
              <w:pStyle w:val="TableParagraph"/>
              <w:spacing w:before="47"/>
              <w:rPr>
                <w:sz w:val="20"/>
              </w:rPr>
            </w:pPr>
            <w:r>
              <w:rPr>
                <w:sz w:val="20"/>
              </w:rPr>
              <w:t>[United States Department of] Housing and Urban Development.</w:t>
            </w:r>
          </w:p>
        </w:tc>
      </w:tr>
      <w:tr w:rsidR="00531D5F" w14:paraId="1322C15B" w14:textId="77777777">
        <w:trPr>
          <w:trHeight w:val="995"/>
        </w:trPr>
        <w:tc>
          <w:tcPr>
            <w:tcW w:w="2158" w:type="dxa"/>
          </w:tcPr>
          <w:p w14:paraId="1322C159" w14:textId="77777777" w:rsidR="00531D5F" w:rsidRDefault="002D137C">
            <w:pPr>
              <w:pStyle w:val="TableParagraph"/>
              <w:spacing w:before="133"/>
              <w:ind w:left="126" w:right="117"/>
              <w:jc w:val="center"/>
              <w:rPr>
                <w:sz w:val="20"/>
              </w:rPr>
            </w:pPr>
            <w:r>
              <w:rPr>
                <w:sz w:val="20"/>
              </w:rPr>
              <w:t>HUD Homelessness, Category 1, Literal Homelessness</w:t>
            </w:r>
          </w:p>
        </w:tc>
        <w:tc>
          <w:tcPr>
            <w:tcW w:w="7267" w:type="dxa"/>
          </w:tcPr>
          <w:p w14:paraId="1322C15A" w14:textId="77777777" w:rsidR="00531D5F" w:rsidRDefault="002D137C">
            <w:pPr>
              <w:pStyle w:val="TableParagraph"/>
              <w:spacing w:before="133"/>
              <w:ind w:right="109"/>
              <w:rPr>
                <w:sz w:val="20"/>
              </w:rPr>
            </w:pPr>
            <w:r>
              <w:rPr>
                <w:sz w:val="20"/>
              </w:rPr>
              <w:t>Individuals and families who live in a place not meant for human habitation (including the streets or in their car), emergency shelter, transitional housing, and hotels paid for by a government or charitable organization.</w:t>
            </w:r>
          </w:p>
        </w:tc>
      </w:tr>
      <w:tr w:rsidR="00531D5F" w14:paraId="1322C15E" w14:textId="77777777">
        <w:trPr>
          <w:trHeight w:val="762"/>
        </w:trPr>
        <w:tc>
          <w:tcPr>
            <w:tcW w:w="2158" w:type="dxa"/>
          </w:tcPr>
          <w:p w14:paraId="1322C15C" w14:textId="77777777" w:rsidR="00531D5F" w:rsidRDefault="002D137C">
            <w:pPr>
              <w:pStyle w:val="TableParagraph"/>
              <w:spacing w:before="15" w:line="240" w:lineRule="atLeast"/>
              <w:ind w:left="196" w:right="169" w:firstLine="69"/>
              <w:rPr>
                <w:sz w:val="20"/>
              </w:rPr>
            </w:pPr>
            <w:r>
              <w:rPr>
                <w:sz w:val="20"/>
              </w:rPr>
              <w:t>HUD Homelessness, Category 2, Imminent Risk of Homelessness</w:t>
            </w:r>
          </w:p>
        </w:tc>
        <w:tc>
          <w:tcPr>
            <w:tcW w:w="7267" w:type="dxa"/>
          </w:tcPr>
          <w:p w14:paraId="1322C15D" w14:textId="77777777" w:rsidR="00531D5F" w:rsidRDefault="002D137C">
            <w:pPr>
              <w:pStyle w:val="TableParagraph"/>
              <w:spacing w:before="138"/>
              <w:ind w:right="134"/>
              <w:rPr>
                <w:sz w:val="20"/>
              </w:rPr>
            </w:pPr>
            <w:r>
              <w:rPr>
                <w:sz w:val="20"/>
              </w:rPr>
              <w:t>Individuals or families who will lose their primary nighttime residence within 14 days and have no other resources or support networks to obtain other permanent housing.</w:t>
            </w:r>
          </w:p>
        </w:tc>
      </w:tr>
      <w:tr w:rsidR="00531D5F" w14:paraId="1322C162" w14:textId="77777777">
        <w:trPr>
          <w:trHeight w:val="1005"/>
        </w:trPr>
        <w:tc>
          <w:tcPr>
            <w:tcW w:w="2158" w:type="dxa"/>
          </w:tcPr>
          <w:p w14:paraId="1322C15F" w14:textId="77777777" w:rsidR="00531D5F" w:rsidRDefault="002D137C">
            <w:pPr>
              <w:pStyle w:val="TableParagraph"/>
              <w:spacing w:before="138"/>
              <w:ind w:left="196" w:right="170" w:firstLine="69"/>
              <w:rPr>
                <w:sz w:val="20"/>
              </w:rPr>
            </w:pPr>
            <w:r>
              <w:rPr>
                <w:sz w:val="20"/>
              </w:rPr>
              <w:t>HUD Homelessness, Category 3, Homeless Under Other Statutes</w:t>
            </w:r>
          </w:p>
        </w:tc>
        <w:tc>
          <w:tcPr>
            <w:tcW w:w="7267" w:type="dxa"/>
          </w:tcPr>
          <w:p w14:paraId="1322C160" w14:textId="77777777" w:rsidR="00531D5F" w:rsidRDefault="002D137C">
            <w:pPr>
              <w:pStyle w:val="TableParagraph"/>
              <w:spacing w:before="15"/>
              <w:ind w:right="110"/>
              <w:rPr>
                <w:sz w:val="20"/>
              </w:rPr>
            </w:pPr>
            <w:r>
              <w:rPr>
                <w:sz w:val="20"/>
              </w:rPr>
              <w:t>Unaccompanied youth under 25 years of age, or families with children and youth, who do not meet any of the other categories but are homeless under other federal statutes, have not had a lease and have moved two or more times in the past 60 days</w:t>
            </w:r>
          </w:p>
          <w:p w14:paraId="1322C161" w14:textId="77777777" w:rsidR="00531D5F" w:rsidRDefault="002D137C">
            <w:pPr>
              <w:pStyle w:val="TableParagraph"/>
              <w:spacing w:line="237" w:lineRule="exact"/>
              <w:rPr>
                <w:sz w:val="20"/>
              </w:rPr>
            </w:pPr>
            <w:r>
              <w:rPr>
                <w:sz w:val="20"/>
              </w:rPr>
              <w:t>and can be expected to remain unstable due to special needs or barriers.</w:t>
            </w:r>
          </w:p>
        </w:tc>
      </w:tr>
      <w:tr w:rsidR="00531D5F" w14:paraId="1322C168" w14:textId="77777777">
        <w:trPr>
          <w:trHeight w:val="1740"/>
        </w:trPr>
        <w:tc>
          <w:tcPr>
            <w:tcW w:w="2158" w:type="dxa"/>
          </w:tcPr>
          <w:p w14:paraId="1322C163" w14:textId="77777777" w:rsidR="00531D5F" w:rsidRDefault="00531D5F">
            <w:pPr>
              <w:pStyle w:val="TableParagraph"/>
              <w:ind w:left="0"/>
              <w:rPr>
                <w:sz w:val="20"/>
              </w:rPr>
            </w:pPr>
          </w:p>
          <w:p w14:paraId="1322C164" w14:textId="77777777" w:rsidR="00531D5F" w:rsidRDefault="00531D5F">
            <w:pPr>
              <w:pStyle w:val="TableParagraph"/>
              <w:spacing w:before="5"/>
              <w:ind w:left="0"/>
              <w:rPr>
                <w:sz w:val="21"/>
              </w:rPr>
            </w:pPr>
          </w:p>
          <w:p w14:paraId="1322C165" w14:textId="77777777" w:rsidR="00531D5F" w:rsidRDefault="002D137C">
            <w:pPr>
              <w:pStyle w:val="TableParagraph"/>
              <w:ind w:left="302" w:right="257" w:hanging="36"/>
              <w:jc w:val="both"/>
              <w:rPr>
                <w:sz w:val="20"/>
              </w:rPr>
            </w:pPr>
            <w:r>
              <w:rPr>
                <w:sz w:val="20"/>
              </w:rPr>
              <w:t>HUD Homelessness, Category 4, Fleeing Domestic Violence</w:t>
            </w:r>
          </w:p>
        </w:tc>
        <w:tc>
          <w:tcPr>
            <w:tcW w:w="7267" w:type="dxa"/>
          </w:tcPr>
          <w:p w14:paraId="1322C166" w14:textId="77777777" w:rsidR="00531D5F" w:rsidRDefault="002D137C">
            <w:pPr>
              <w:pStyle w:val="TableParagraph"/>
              <w:spacing w:before="16"/>
              <w:ind w:right="83"/>
              <w:rPr>
                <w:sz w:val="20"/>
              </w:rPr>
            </w:pPr>
            <w:r>
              <w:rPr>
                <w:sz w:val="20"/>
              </w:rPr>
              <w:t>Individuals or families who are fleeing or attempting to flee their housing or the place they are staying because of domestic violence, dating violence, sexual assault, stalking, or other dangerous or life-threatening conditions related to violence that has taken place in the house or has made them afraid to return to the house, including trading sex for housing, trafficking, physical abuse, violence (or perceived threat of violence) because of the youth’s sexual orientation, and who lack resources or support</w:t>
            </w:r>
          </w:p>
          <w:p w14:paraId="1322C167" w14:textId="77777777" w:rsidR="00531D5F" w:rsidRDefault="002D137C">
            <w:pPr>
              <w:pStyle w:val="TableParagraph"/>
              <w:spacing w:before="1" w:line="237" w:lineRule="exact"/>
              <w:rPr>
                <w:sz w:val="20"/>
              </w:rPr>
            </w:pPr>
            <w:r>
              <w:rPr>
                <w:sz w:val="20"/>
              </w:rPr>
              <w:t>networks to maintain or obtain permanent housing.</w:t>
            </w:r>
          </w:p>
        </w:tc>
      </w:tr>
      <w:tr w:rsidR="00531D5F" w14:paraId="1322C16B" w14:textId="77777777">
        <w:trPr>
          <w:trHeight w:val="337"/>
        </w:trPr>
        <w:tc>
          <w:tcPr>
            <w:tcW w:w="2158" w:type="dxa"/>
          </w:tcPr>
          <w:p w14:paraId="1322C169" w14:textId="77777777" w:rsidR="00531D5F" w:rsidRDefault="002D137C">
            <w:pPr>
              <w:pStyle w:val="TableParagraph"/>
              <w:spacing w:before="47"/>
              <w:ind w:left="126" w:right="122"/>
              <w:jc w:val="center"/>
              <w:rPr>
                <w:sz w:val="20"/>
              </w:rPr>
            </w:pPr>
            <w:r>
              <w:rPr>
                <w:sz w:val="20"/>
              </w:rPr>
              <w:t>LGBTQIA+</w:t>
            </w:r>
          </w:p>
        </w:tc>
        <w:tc>
          <w:tcPr>
            <w:tcW w:w="7267" w:type="dxa"/>
          </w:tcPr>
          <w:p w14:paraId="1322C16A" w14:textId="77777777" w:rsidR="00531D5F" w:rsidRDefault="002D137C">
            <w:pPr>
              <w:pStyle w:val="TableParagraph"/>
              <w:spacing w:before="47"/>
              <w:rPr>
                <w:sz w:val="20"/>
              </w:rPr>
            </w:pPr>
            <w:r>
              <w:rPr>
                <w:sz w:val="20"/>
              </w:rPr>
              <w:t>Lesbian, Gay, Bisexual, Transgender, Queer, Intersex, Asexual</w:t>
            </w:r>
          </w:p>
        </w:tc>
      </w:tr>
      <w:tr w:rsidR="00531D5F" w14:paraId="1322C16E" w14:textId="77777777">
        <w:trPr>
          <w:trHeight w:val="518"/>
        </w:trPr>
        <w:tc>
          <w:tcPr>
            <w:tcW w:w="2158" w:type="dxa"/>
          </w:tcPr>
          <w:p w14:paraId="1322C16C" w14:textId="77777777" w:rsidR="00531D5F" w:rsidRDefault="002D137C">
            <w:pPr>
              <w:pStyle w:val="TableParagraph"/>
              <w:spacing w:before="138"/>
              <w:ind w:left="126" w:right="122"/>
              <w:jc w:val="center"/>
              <w:rPr>
                <w:sz w:val="20"/>
              </w:rPr>
            </w:pPr>
            <w:r>
              <w:rPr>
                <w:sz w:val="20"/>
              </w:rPr>
              <w:t>Sexual Orientation</w:t>
            </w:r>
          </w:p>
        </w:tc>
        <w:tc>
          <w:tcPr>
            <w:tcW w:w="7267" w:type="dxa"/>
          </w:tcPr>
          <w:p w14:paraId="1322C16D" w14:textId="77777777" w:rsidR="00531D5F" w:rsidRDefault="002D137C">
            <w:pPr>
              <w:pStyle w:val="TableParagraph"/>
              <w:spacing w:before="15" w:line="240" w:lineRule="atLeast"/>
              <w:ind w:right="149"/>
              <w:rPr>
                <w:sz w:val="20"/>
              </w:rPr>
            </w:pPr>
            <w:r>
              <w:rPr>
                <w:sz w:val="20"/>
              </w:rPr>
              <w:t>A person’s sexual identity stated in relation to the gender to which they are attracted; the fact of being heterosexual, homosexual, or bisexual.</w:t>
            </w:r>
          </w:p>
        </w:tc>
      </w:tr>
      <w:tr w:rsidR="00531D5F" w14:paraId="1322C173" w14:textId="77777777">
        <w:trPr>
          <w:trHeight w:val="762"/>
        </w:trPr>
        <w:tc>
          <w:tcPr>
            <w:tcW w:w="2158" w:type="dxa"/>
          </w:tcPr>
          <w:p w14:paraId="1322C16F" w14:textId="77777777" w:rsidR="00531D5F" w:rsidRDefault="00531D5F">
            <w:pPr>
              <w:pStyle w:val="TableParagraph"/>
              <w:spacing w:before="4"/>
              <w:ind w:left="0"/>
              <w:rPr>
                <w:sz w:val="21"/>
              </w:rPr>
            </w:pPr>
          </w:p>
          <w:p w14:paraId="1322C170" w14:textId="77777777" w:rsidR="00531D5F" w:rsidRDefault="002D137C">
            <w:pPr>
              <w:pStyle w:val="TableParagraph"/>
              <w:ind w:left="126" w:right="121"/>
              <w:jc w:val="center"/>
              <w:rPr>
                <w:sz w:val="20"/>
              </w:rPr>
            </w:pPr>
            <w:r>
              <w:rPr>
                <w:sz w:val="20"/>
              </w:rPr>
              <w:t>Transgender</w:t>
            </w:r>
          </w:p>
        </w:tc>
        <w:tc>
          <w:tcPr>
            <w:tcW w:w="7267" w:type="dxa"/>
          </w:tcPr>
          <w:p w14:paraId="1322C171" w14:textId="77777777" w:rsidR="00531D5F" w:rsidRDefault="002D137C">
            <w:pPr>
              <w:pStyle w:val="TableParagraph"/>
              <w:spacing w:before="15"/>
              <w:ind w:right="138"/>
              <w:rPr>
                <w:sz w:val="20"/>
              </w:rPr>
            </w:pPr>
            <w:r>
              <w:rPr>
                <w:sz w:val="20"/>
              </w:rPr>
              <w:t>The term transgender refers to people whose gender identity (the sense of gender that every person knows inside) or gender expression is different from their sex at</w:t>
            </w:r>
          </w:p>
          <w:p w14:paraId="1322C172" w14:textId="77777777" w:rsidR="00531D5F" w:rsidRDefault="002D137C">
            <w:pPr>
              <w:pStyle w:val="TableParagraph"/>
              <w:spacing w:line="239" w:lineRule="exact"/>
              <w:rPr>
                <w:sz w:val="20"/>
              </w:rPr>
            </w:pPr>
            <w:r>
              <w:rPr>
                <w:sz w:val="20"/>
              </w:rPr>
              <w:t>birth.</w:t>
            </w:r>
          </w:p>
        </w:tc>
      </w:tr>
      <w:tr w:rsidR="00531D5F" w14:paraId="1322C177" w14:textId="77777777">
        <w:trPr>
          <w:trHeight w:val="645"/>
        </w:trPr>
        <w:tc>
          <w:tcPr>
            <w:tcW w:w="2158" w:type="dxa"/>
          </w:tcPr>
          <w:p w14:paraId="1322C174" w14:textId="77777777" w:rsidR="00531D5F" w:rsidRDefault="00531D5F">
            <w:pPr>
              <w:pStyle w:val="TableParagraph"/>
              <w:spacing w:before="5"/>
              <w:ind w:left="0"/>
              <w:rPr>
                <w:sz w:val="16"/>
              </w:rPr>
            </w:pPr>
          </w:p>
          <w:p w14:paraId="1322C175" w14:textId="77777777" w:rsidR="00531D5F" w:rsidRDefault="002D137C">
            <w:pPr>
              <w:pStyle w:val="TableParagraph"/>
              <w:spacing w:before="1"/>
              <w:ind w:left="126" w:right="120"/>
              <w:jc w:val="center"/>
              <w:rPr>
                <w:sz w:val="20"/>
              </w:rPr>
            </w:pPr>
            <w:r>
              <w:rPr>
                <w:sz w:val="20"/>
              </w:rPr>
              <w:t>Lived Expertise</w:t>
            </w:r>
          </w:p>
        </w:tc>
        <w:tc>
          <w:tcPr>
            <w:tcW w:w="7267" w:type="dxa"/>
          </w:tcPr>
          <w:p w14:paraId="1322C176" w14:textId="77777777" w:rsidR="00531D5F" w:rsidRDefault="002D137C">
            <w:pPr>
              <w:pStyle w:val="TableParagraph"/>
              <w:spacing w:before="78"/>
              <w:ind w:right="110"/>
              <w:rPr>
                <w:sz w:val="20"/>
              </w:rPr>
            </w:pPr>
            <w:r>
              <w:rPr>
                <w:sz w:val="20"/>
              </w:rPr>
              <w:t>A core value of this plan is Youth Voice. We believe that people with lived experience in homelessness provide invaluable expertise and that this input should be prioritized.</w:t>
            </w:r>
          </w:p>
        </w:tc>
      </w:tr>
      <w:tr w:rsidR="00531D5F" w14:paraId="1322C17B" w14:textId="77777777">
        <w:trPr>
          <w:trHeight w:val="760"/>
        </w:trPr>
        <w:tc>
          <w:tcPr>
            <w:tcW w:w="2158" w:type="dxa"/>
          </w:tcPr>
          <w:p w14:paraId="1322C178" w14:textId="77777777" w:rsidR="00531D5F" w:rsidRDefault="002D137C">
            <w:pPr>
              <w:pStyle w:val="TableParagraph"/>
              <w:spacing w:before="138"/>
              <w:ind w:left="571" w:right="531" w:hanging="15"/>
              <w:rPr>
                <w:sz w:val="20"/>
              </w:rPr>
            </w:pPr>
            <w:r>
              <w:rPr>
                <w:sz w:val="20"/>
              </w:rPr>
              <w:t>Motivational Interviewing</w:t>
            </w:r>
          </w:p>
        </w:tc>
        <w:tc>
          <w:tcPr>
            <w:tcW w:w="7267" w:type="dxa"/>
          </w:tcPr>
          <w:p w14:paraId="1322C179" w14:textId="77777777" w:rsidR="00531D5F" w:rsidRDefault="002D137C">
            <w:pPr>
              <w:pStyle w:val="TableParagraph"/>
              <w:spacing w:before="15"/>
              <w:rPr>
                <w:sz w:val="20"/>
              </w:rPr>
            </w:pPr>
            <w:r>
              <w:rPr>
                <w:sz w:val="20"/>
              </w:rPr>
              <w:t>A clinical approach that helps people with mental health and substance use disorders and other chronic conditions make positive behavioral changes to support better</w:t>
            </w:r>
          </w:p>
          <w:p w14:paraId="1322C17A" w14:textId="77777777" w:rsidR="00531D5F" w:rsidRDefault="002D137C">
            <w:pPr>
              <w:pStyle w:val="TableParagraph"/>
              <w:spacing w:line="236" w:lineRule="exact"/>
              <w:rPr>
                <w:sz w:val="20"/>
              </w:rPr>
            </w:pPr>
            <w:r>
              <w:rPr>
                <w:sz w:val="20"/>
              </w:rPr>
              <w:t>health.</w:t>
            </w:r>
          </w:p>
        </w:tc>
      </w:tr>
      <w:tr w:rsidR="00531D5F" w14:paraId="1322C17E" w14:textId="77777777">
        <w:trPr>
          <w:trHeight w:val="337"/>
        </w:trPr>
        <w:tc>
          <w:tcPr>
            <w:tcW w:w="2158" w:type="dxa"/>
          </w:tcPr>
          <w:p w14:paraId="1322C17C" w14:textId="77777777" w:rsidR="00531D5F" w:rsidRDefault="002D137C">
            <w:pPr>
              <w:pStyle w:val="TableParagraph"/>
              <w:spacing w:before="49"/>
              <w:ind w:left="126" w:right="117"/>
              <w:jc w:val="center"/>
              <w:rPr>
                <w:sz w:val="20"/>
              </w:rPr>
            </w:pPr>
            <w:r>
              <w:rPr>
                <w:sz w:val="20"/>
              </w:rPr>
              <w:t>NOFA</w:t>
            </w:r>
          </w:p>
        </w:tc>
        <w:tc>
          <w:tcPr>
            <w:tcW w:w="7267" w:type="dxa"/>
          </w:tcPr>
          <w:p w14:paraId="1322C17D" w14:textId="77777777" w:rsidR="00531D5F" w:rsidRDefault="002D137C">
            <w:pPr>
              <w:pStyle w:val="TableParagraph"/>
              <w:spacing w:before="49"/>
              <w:rPr>
                <w:sz w:val="20"/>
              </w:rPr>
            </w:pPr>
            <w:r>
              <w:rPr>
                <w:sz w:val="20"/>
              </w:rPr>
              <w:t>Notice of Funding Availability</w:t>
            </w:r>
          </w:p>
        </w:tc>
      </w:tr>
      <w:tr w:rsidR="00531D5F" w14:paraId="1322C181" w14:textId="77777777">
        <w:trPr>
          <w:trHeight w:val="337"/>
        </w:trPr>
        <w:tc>
          <w:tcPr>
            <w:tcW w:w="2158" w:type="dxa"/>
          </w:tcPr>
          <w:p w14:paraId="1322C17F" w14:textId="77777777" w:rsidR="00531D5F" w:rsidRDefault="002D137C">
            <w:pPr>
              <w:pStyle w:val="TableParagraph"/>
              <w:spacing w:before="47"/>
              <w:ind w:left="126" w:right="120"/>
              <w:jc w:val="center"/>
              <w:rPr>
                <w:sz w:val="20"/>
              </w:rPr>
            </w:pPr>
            <w:r>
              <w:rPr>
                <w:sz w:val="20"/>
              </w:rPr>
              <w:t>NOFO</w:t>
            </w:r>
          </w:p>
        </w:tc>
        <w:tc>
          <w:tcPr>
            <w:tcW w:w="7267" w:type="dxa"/>
          </w:tcPr>
          <w:p w14:paraId="1322C180" w14:textId="77777777" w:rsidR="00531D5F" w:rsidRDefault="002D137C">
            <w:pPr>
              <w:pStyle w:val="TableParagraph"/>
              <w:spacing w:before="47"/>
              <w:rPr>
                <w:sz w:val="20"/>
              </w:rPr>
            </w:pPr>
            <w:r>
              <w:rPr>
                <w:sz w:val="20"/>
              </w:rPr>
              <w:t>Notice of Funding Opportunity</w:t>
            </w:r>
          </w:p>
        </w:tc>
      </w:tr>
    </w:tbl>
    <w:p w14:paraId="1322C182" w14:textId="77777777" w:rsidR="00531D5F" w:rsidRDefault="00531D5F">
      <w:pPr>
        <w:rPr>
          <w:sz w:val="20"/>
        </w:rPr>
        <w:sectPr w:rsidR="00531D5F">
          <w:pgSz w:w="12240" w:h="15840"/>
          <w:pgMar w:top="1440" w:right="1280" w:bottom="280" w:left="130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267"/>
      </w:tblGrid>
      <w:tr w:rsidR="00531D5F" w14:paraId="1322C187" w14:textId="77777777">
        <w:trPr>
          <w:trHeight w:val="763"/>
        </w:trPr>
        <w:tc>
          <w:tcPr>
            <w:tcW w:w="2158" w:type="dxa"/>
          </w:tcPr>
          <w:p w14:paraId="1322C183" w14:textId="77777777" w:rsidR="00531D5F" w:rsidRDefault="00531D5F">
            <w:pPr>
              <w:pStyle w:val="TableParagraph"/>
              <w:spacing w:before="4"/>
              <w:ind w:left="0"/>
              <w:rPr>
                <w:sz w:val="21"/>
              </w:rPr>
            </w:pPr>
          </w:p>
          <w:p w14:paraId="1322C184" w14:textId="77777777" w:rsidR="00531D5F" w:rsidRDefault="002D137C">
            <w:pPr>
              <w:pStyle w:val="TableParagraph"/>
              <w:ind w:left="126" w:right="118"/>
              <w:jc w:val="center"/>
              <w:rPr>
                <w:sz w:val="20"/>
              </w:rPr>
            </w:pPr>
            <w:r>
              <w:rPr>
                <w:sz w:val="20"/>
              </w:rPr>
              <w:t>PIT</w:t>
            </w:r>
          </w:p>
        </w:tc>
        <w:tc>
          <w:tcPr>
            <w:tcW w:w="7267" w:type="dxa"/>
          </w:tcPr>
          <w:p w14:paraId="1322C185" w14:textId="77777777" w:rsidR="00531D5F" w:rsidRDefault="002D137C">
            <w:pPr>
              <w:pStyle w:val="TableParagraph"/>
              <w:spacing w:before="15"/>
              <w:rPr>
                <w:sz w:val="20"/>
              </w:rPr>
            </w:pPr>
            <w:r>
              <w:rPr>
                <w:sz w:val="20"/>
              </w:rPr>
              <w:t>Point-in-Time Count is a nationwide count of sheltered and unsheltered persons experiencing homelessness on a single date</w:t>
            </w:r>
          </w:p>
          <w:p w14:paraId="1322C186" w14:textId="77777777" w:rsidR="00531D5F" w:rsidRDefault="002D137C">
            <w:pPr>
              <w:pStyle w:val="TableParagraph"/>
              <w:spacing w:before="2" w:line="237" w:lineRule="exact"/>
              <w:rPr>
                <w:sz w:val="20"/>
              </w:rPr>
            </w:pPr>
            <w:r>
              <w:rPr>
                <w:sz w:val="20"/>
              </w:rPr>
              <w:t>in January</w:t>
            </w:r>
          </w:p>
        </w:tc>
      </w:tr>
      <w:tr w:rsidR="00531D5F" w14:paraId="1322C18C" w14:textId="77777777">
        <w:trPr>
          <w:trHeight w:val="1005"/>
        </w:trPr>
        <w:tc>
          <w:tcPr>
            <w:tcW w:w="2158" w:type="dxa"/>
          </w:tcPr>
          <w:p w14:paraId="1322C188" w14:textId="77777777" w:rsidR="00531D5F" w:rsidRDefault="00531D5F">
            <w:pPr>
              <w:pStyle w:val="TableParagraph"/>
              <w:spacing w:before="4"/>
              <w:ind w:left="0"/>
              <w:rPr>
                <w:sz w:val="21"/>
              </w:rPr>
            </w:pPr>
          </w:p>
          <w:p w14:paraId="1322C189" w14:textId="77777777" w:rsidR="00531D5F" w:rsidRDefault="002D137C">
            <w:pPr>
              <w:pStyle w:val="TableParagraph"/>
              <w:ind w:left="837" w:right="156" w:hanging="656"/>
              <w:rPr>
                <w:sz w:val="20"/>
              </w:rPr>
            </w:pPr>
            <w:r>
              <w:rPr>
                <w:sz w:val="20"/>
              </w:rPr>
              <w:t>Pregnant or Parenting Youth</w:t>
            </w:r>
          </w:p>
        </w:tc>
        <w:tc>
          <w:tcPr>
            <w:tcW w:w="7267" w:type="dxa"/>
          </w:tcPr>
          <w:p w14:paraId="1322C18A" w14:textId="77777777" w:rsidR="00531D5F" w:rsidRDefault="002D137C">
            <w:pPr>
              <w:pStyle w:val="TableParagraph"/>
              <w:spacing w:before="15"/>
              <w:ind w:right="89"/>
              <w:rPr>
                <w:sz w:val="20"/>
              </w:rPr>
            </w:pPr>
            <w:r>
              <w:rPr>
                <w:sz w:val="20"/>
              </w:rPr>
              <w:t>Individuals who are age 24 years or younger who are pregnant or who are the parents or legal guardians of one or more children who are present with or sleeping in the same place as that youth parent, and where there is no person over age 24 years in</w:t>
            </w:r>
          </w:p>
          <w:p w14:paraId="1322C18B" w14:textId="77777777" w:rsidR="00531D5F" w:rsidRDefault="002D137C">
            <w:pPr>
              <w:pStyle w:val="TableParagraph"/>
              <w:spacing w:line="237" w:lineRule="exact"/>
              <w:rPr>
                <w:sz w:val="20"/>
              </w:rPr>
            </w:pPr>
            <w:r>
              <w:rPr>
                <w:sz w:val="20"/>
              </w:rPr>
              <w:t>the household.</w:t>
            </w:r>
          </w:p>
        </w:tc>
      </w:tr>
      <w:tr w:rsidR="00531D5F" w14:paraId="1322C18F" w14:textId="77777777">
        <w:trPr>
          <w:trHeight w:val="520"/>
        </w:trPr>
        <w:tc>
          <w:tcPr>
            <w:tcW w:w="2158" w:type="dxa"/>
          </w:tcPr>
          <w:p w14:paraId="1322C18D" w14:textId="77777777" w:rsidR="00531D5F" w:rsidRDefault="002D137C">
            <w:pPr>
              <w:pStyle w:val="TableParagraph"/>
              <w:spacing w:before="138"/>
              <w:ind w:left="126" w:right="118"/>
              <w:jc w:val="center"/>
              <w:rPr>
                <w:sz w:val="20"/>
              </w:rPr>
            </w:pPr>
            <w:r>
              <w:rPr>
                <w:sz w:val="20"/>
              </w:rPr>
              <w:t>PSH</w:t>
            </w:r>
          </w:p>
        </w:tc>
        <w:tc>
          <w:tcPr>
            <w:tcW w:w="7267" w:type="dxa"/>
          </w:tcPr>
          <w:p w14:paraId="1322C18E" w14:textId="77777777" w:rsidR="00531D5F" w:rsidRDefault="002D137C">
            <w:pPr>
              <w:pStyle w:val="TableParagraph"/>
              <w:spacing w:before="15" w:line="242" w:lineRule="exact"/>
              <w:ind w:right="708"/>
              <w:rPr>
                <w:sz w:val="20"/>
              </w:rPr>
            </w:pPr>
            <w:r>
              <w:rPr>
                <w:sz w:val="20"/>
              </w:rPr>
              <w:t>Permanent Supportive Housing, long-term housing with supportive services for homeless individuals with disabilities.</w:t>
            </w:r>
          </w:p>
        </w:tc>
      </w:tr>
      <w:tr w:rsidR="00531D5F" w14:paraId="1322C195" w14:textId="77777777">
        <w:trPr>
          <w:trHeight w:val="1495"/>
        </w:trPr>
        <w:tc>
          <w:tcPr>
            <w:tcW w:w="2158" w:type="dxa"/>
          </w:tcPr>
          <w:p w14:paraId="1322C190" w14:textId="77777777" w:rsidR="00531D5F" w:rsidRDefault="00531D5F">
            <w:pPr>
              <w:pStyle w:val="TableParagraph"/>
              <w:ind w:left="0"/>
              <w:rPr>
                <w:sz w:val="20"/>
              </w:rPr>
            </w:pPr>
          </w:p>
          <w:p w14:paraId="1322C191" w14:textId="77777777" w:rsidR="00531D5F" w:rsidRDefault="00531D5F">
            <w:pPr>
              <w:pStyle w:val="TableParagraph"/>
              <w:ind w:left="0"/>
              <w:rPr>
                <w:sz w:val="20"/>
              </w:rPr>
            </w:pPr>
          </w:p>
          <w:p w14:paraId="1322C192" w14:textId="77777777" w:rsidR="00531D5F" w:rsidRDefault="002D137C">
            <w:pPr>
              <w:pStyle w:val="TableParagraph"/>
              <w:spacing w:before="137"/>
              <w:ind w:left="126" w:right="120"/>
              <w:jc w:val="center"/>
              <w:rPr>
                <w:sz w:val="20"/>
              </w:rPr>
            </w:pPr>
            <w:r>
              <w:rPr>
                <w:sz w:val="20"/>
              </w:rPr>
              <w:t>PYD</w:t>
            </w:r>
          </w:p>
        </w:tc>
        <w:tc>
          <w:tcPr>
            <w:tcW w:w="7267" w:type="dxa"/>
          </w:tcPr>
          <w:p w14:paraId="1322C193" w14:textId="77777777" w:rsidR="00531D5F" w:rsidRDefault="002D137C">
            <w:pPr>
              <w:pStyle w:val="TableParagraph"/>
              <w:spacing w:before="15"/>
              <w:ind w:right="237"/>
              <w:rPr>
                <w:sz w:val="20"/>
              </w:rPr>
            </w:pPr>
            <w:r>
              <w:rPr>
                <w:sz w:val="20"/>
              </w:rPr>
              <w:t>Positive Youth Development, an intentional, prosocial approach that engages youth within their communities, schools, organizations, peer groups and families in a manner that is productive and constructive; recognizes, utilizes, and enhances young people’s strengths; and promotes positive outcomes for young people by providing opportunities, fostering positive relationships, and furnishing the support needed to</w:t>
            </w:r>
          </w:p>
          <w:p w14:paraId="1322C194" w14:textId="77777777" w:rsidR="00531D5F" w:rsidRDefault="002D137C">
            <w:pPr>
              <w:pStyle w:val="TableParagraph"/>
              <w:spacing w:line="239" w:lineRule="exact"/>
              <w:rPr>
                <w:sz w:val="20"/>
              </w:rPr>
            </w:pPr>
            <w:r>
              <w:rPr>
                <w:sz w:val="20"/>
              </w:rPr>
              <w:t>build on their leadership strengths.</w:t>
            </w:r>
          </w:p>
        </w:tc>
      </w:tr>
      <w:tr w:rsidR="00531D5F" w14:paraId="1322C198" w14:textId="77777777">
        <w:trPr>
          <w:trHeight w:val="335"/>
        </w:trPr>
        <w:tc>
          <w:tcPr>
            <w:tcW w:w="2158" w:type="dxa"/>
          </w:tcPr>
          <w:p w14:paraId="1322C196" w14:textId="77777777" w:rsidR="00531D5F" w:rsidRDefault="002D137C">
            <w:pPr>
              <w:pStyle w:val="TableParagraph"/>
              <w:spacing w:before="47"/>
              <w:ind w:left="126" w:right="120"/>
              <w:jc w:val="center"/>
              <w:rPr>
                <w:sz w:val="20"/>
              </w:rPr>
            </w:pPr>
            <w:r>
              <w:rPr>
                <w:sz w:val="20"/>
              </w:rPr>
              <w:t>RFP</w:t>
            </w:r>
          </w:p>
        </w:tc>
        <w:tc>
          <w:tcPr>
            <w:tcW w:w="7267" w:type="dxa"/>
          </w:tcPr>
          <w:p w14:paraId="1322C197" w14:textId="77777777" w:rsidR="00531D5F" w:rsidRDefault="002D137C">
            <w:pPr>
              <w:pStyle w:val="TableParagraph"/>
              <w:spacing w:before="47"/>
              <w:rPr>
                <w:sz w:val="20"/>
              </w:rPr>
            </w:pPr>
            <w:r>
              <w:rPr>
                <w:sz w:val="20"/>
              </w:rPr>
              <w:t>Request for Proposals</w:t>
            </w:r>
          </w:p>
        </w:tc>
      </w:tr>
      <w:tr w:rsidR="00531D5F" w14:paraId="1322C19B" w14:textId="77777777">
        <w:trPr>
          <w:trHeight w:val="517"/>
        </w:trPr>
        <w:tc>
          <w:tcPr>
            <w:tcW w:w="2158" w:type="dxa"/>
          </w:tcPr>
          <w:p w14:paraId="1322C199" w14:textId="77777777" w:rsidR="00531D5F" w:rsidRDefault="002D137C">
            <w:pPr>
              <w:pStyle w:val="TableParagraph"/>
              <w:spacing w:before="138"/>
              <w:ind w:left="126" w:right="122"/>
              <w:jc w:val="center"/>
              <w:rPr>
                <w:sz w:val="20"/>
              </w:rPr>
            </w:pPr>
            <w:r>
              <w:rPr>
                <w:sz w:val="20"/>
              </w:rPr>
              <w:t>RHYA</w:t>
            </w:r>
          </w:p>
        </w:tc>
        <w:tc>
          <w:tcPr>
            <w:tcW w:w="7267" w:type="dxa"/>
          </w:tcPr>
          <w:p w14:paraId="1322C19A" w14:textId="77777777" w:rsidR="00531D5F" w:rsidRDefault="002D137C">
            <w:pPr>
              <w:pStyle w:val="TableParagraph"/>
              <w:spacing w:before="15" w:line="240" w:lineRule="atLeast"/>
              <w:rPr>
                <w:sz w:val="20"/>
              </w:rPr>
            </w:pPr>
            <w:r>
              <w:rPr>
                <w:sz w:val="20"/>
              </w:rPr>
              <w:t>Runaway and Homeless Youth Act are grants that provide foundational support to address youth and young adult homelessness</w:t>
            </w:r>
          </w:p>
        </w:tc>
      </w:tr>
      <w:tr w:rsidR="00531D5F" w14:paraId="1322C19F" w14:textId="77777777">
        <w:trPr>
          <w:trHeight w:val="1007"/>
        </w:trPr>
        <w:tc>
          <w:tcPr>
            <w:tcW w:w="2158" w:type="dxa"/>
          </w:tcPr>
          <w:p w14:paraId="1322C19C" w14:textId="77777777" w:rsidR="00531D5F" w:rsidRDefault="00531D5F">
            <w:pPr>
              <w:pStyle w:val="TableParagraph"/>
              <w:ind w:left="0"/>
              <w:rPr>
                <w:sz w:val="20"/>
              </w:rPr>
            </w:pPr>
          </w:p>
          <w:p w14:paraId="1322C19D" w14:textId="77777777" w:rsidR="00531D5F" w:rsidRDefault="002D137C">
            <w:pPr>
              <w:pStyle w:val="TableParagraph"/>
              <w:spacing w:before="139"/>
              <w:ind w:left="126" w:right="121"/>
              <w:jc w:val="center"/>
              <w:rPr>
                <w:sz w:val="20"/>
              </w:rPr>
            </w:pPr>
            <w:r>
              <w:rPr>
                <w:sz w:val="20"/>
              </w:rPr>
              <w:t>RRH</w:t>
            </w:r>
          </w:p>
        </w:tc>
        <w:tc>
          <w:tcPr>
            <w:tcW w:w="7267" w:type="dxa"/>
          </w:tcPr>
          <w:p w14:paraId="1322C19E" w14:textId="77777777" w:rsidR="00531D5F" w:rsidRDefault="002D137C">
            <w:pPr>
              <w:pStyle w:val="TableParagraph"/>
              <w:spacing w:before="15" w:line="240" w:lineRule="atLeast"/>
              <w:ind w:right="165" w:firstLine="45"/>
              <w:rPr>
                <w:sz w:val="20"/>
              </w:rPr>
            </w:pPr>
            <w:r>
              <w:rPr>
                <w:sz w:val="20"/>
              </w:rPr>
              <w:t>Rapid Re-housing, A program model that assists individuals or families who are experiencing homelessness to move as quickly as possible into permanent housing and to achieve stability in that housing through a combination of rental assistance, housing search and supportive services.</w:t>
            </w:r>
          </w:p>
        </w:tc>
      </w:tr>
      <w:tr w:rsidR="00531D5F" w14:paraId="1322C1A2" w14:textId="77777777">
        <w:trPr>
          <w:trHeight w:val="517"/>
        </w:trPr>
        <w:tc>
          <w:tcPr>
            <w:tcW w:w="2158" w:type="dxa"/>
          </w:tcPr>
          <w:p w14:paraId="1322C1A0" w14:textId="77777777" w:rsidR="00531D5F" w:rsidRDefault="002D137C">
            <w:pPr>
              <w:pStyle w:val="TableParagraph"/>
              <w:spacing w:before="138"/>
              <w:ind w:left="126" w:right="121"/>
              <w:jc w:val="center"/>
              <w:rPr>
                <w:sz w:val="20"/>
              </w:rPr>
            </w:pPr>
            <w:r>
              <w:rPr>
                <w:sz w:val="20"/>
              </w:rPr>
              <w:t>Shared Housing</w:t>
            </w:r>
          </w:p>
        </w:tc>
        <w:tc>
          <w:tcPr>
            <w:tcW w:w="7267" w:type="dxa"/>
          </w:tcPr>
          <w:p w14:paraId="1322C1A1" w14:textId="77777777" w:rsidR="00531D5F" w:rsidRDefault="002D137C">
            <w:pPr>
              <w:pStyle w:val="TableParagraph"/>
              <w:spacing w:before="15" w:line="240" w:lineRule="atLeast"/>
              <w:ind w:firstLine="45"/>
              <w:rPr>
                <w:sz w:val="20"/>
              </w:rPr>
            </w:pPr>
            <w:r>
              <w:rPr>
                <w:sz w:val="20"/>
              </w:rPr>
              <w:t>Long-term living arrangement between two unrelated people who choose to live together as a way of sharing costs and building a community of support.</w:t>
            </w:r>
          </w:p>
        </w:tc>
      </w:tr>
      <w:tr w:rsidR="00531D5F" w14:paraId="1322C1A5" w14:textId="77777777">
        <w:trPr>
          <w:trHeight w:val="338"/>
        </w:trPr>
        <w:tc>
          <w:tcPr>
            <w:tcW w:w="2158" w:type="dxa"/>
          </w:tcPr>
          <w:p w14:paraId="1322C1A3" w14:textId="77777777" w:rsidR="00531D5F" w:rsidRDefault="002D137C">
            <w:pPr>
              <w:pStyle w:val="TableParagraph"/>
              <w:spacing w:before="47"/>
              <w:ind w:left="126" w:right="121"/>
              <w:jc w:val="center"/>
              <w:rPr>
                <w:sz w:val="20"/>
              </w:rPr>
            </w:pPr>
            <w:r>
              <w:rPr>
                <w:sz w:val="20"/>
              </w:rPr>
              <w:t>TA</w:t>
            </w:r>
          </w:p>
        </w:tc>
        <w:tc>
          <w:tcPr>
            <w:tcW w:w="7267" w:type="dxa"/>
          </w:tcPr>
          <w:p w14:paraId="1322C1A4" w14:textId="77777777" w:rsidR="00531D5F" w:rsidRDefault="002D137C">
            <w:pPr>
              <w:pStyle w:val="TableParagraph"/>
              <w:spacing w:before="47"/>
              <w:rPr>
                <w:sz w:val="20"/>
              </w:rPr>
            </w:pPr>
            <w:r>
              <w:rPr>
                <w:sz w:val="20"/>
              </w:rPr>
              <w:t>Technical Assistance</w:t>
            </w:r>
          </w:p>
        </w:tc>
      </w:tr>
      <w:tr w:rsidR="00531D5F" w14:paraId="1322C1AA" w14:textId="77777777">
        <w:trPr>
          <w:trHeight w:val="760"/>
        </w:trPr>
        <w:tc>
          <w:tcPr>
            <w:tcW w:w="2158" w:type="dxa"/>
          </w:tcPr>
          <w:p w14:paraId="1322C1A6" w14:textId="77777777" w:rsidR="00531D5F" w:rsidRDefault="00531D5F">
            <w:pPr>
              <w:pStyle w:val="TableParagraph"/>
              <w:spacing w:before="1"/>
              <w:ind w:left="0"/>
              <w:rPr>
                <w:sz w:val="21"/>
              </w:rPr>
            </w:pPr>
          </w:p>
          <w:p w14:paraId="1322C1A7" w14:textId="77777777" w:rsidR="00531D5F" w:rsidRDefault="002D137C">
            <w:pPr>
              <w:pStyle w:val="TableParagraph"/>
              <w:spacing w:before="1"/>
              <w:ind w:left="126" w:right="121"/>
              <w:jc w:val="center"/>
              <w:rPr>
                <w:sz w:val="20"/>
              </w:rPr>
            </w:pPr>
            <w:r>
              <w:rPr>
                <w:sz w:val="20"/>
              </w:rPr>
              <w:t>TH-RRH</w:t>
            </w:r>
          </w:p>
        </w:tc>
        <w:tc>
          <w:tcPr>
            <w:tcW w:w="7267" w:type="dxa"/>
          </w:tcPr>
          <w:p w14:paraId="1322C1A8" w14:textId="77777777" w:rsidR="00531D5F" w:rsidRDefault="002D137C">
            <w:pPr>
              <w:pStyle w:val="TableParagraph"/>
              <w:spacing w:before="15"/>
              <w:rPr>
                <w:sz w:val="20"/>
              </w:rPr>
            </w:pPr>
            <w:r>
              <w:rPr>
                <w:sz w:val="20"/>
              </w:rPr>
              <w:t>Joint Transitional Housing to Rapid Rehousing. A Joint TH and PH-RRH Component project is a project type that includes two existing program components–TH and</w:t>
            </w:r>
            <w:r>
              <w:rPr>
                <w:spacing w:val="-30"/>
                <w:sz w:val="20"/>
              </w:rPr>
              <w:t xml:space="preserve"> </w:t>
            </w:r>
            <w:r>
              <w:rPr>
                <w:sz w:val="20"/>
              </w:rPr>
              <w:t>PH-</w:t>
            </w:r>
          </w:p>
          <w:p w14:paraId="1322C1A9" w14:textId="77777777" w:rsidR="00531D5F" w:rsidRDefault="002D137C">
            <w:pPr>
              <w:pStyle w:val="TableParagraph"/>
              <w:spacing w:line="237" w:lineRule="exact"/>
              <w:rPr>
                <w:sz w:val="20"/>
              </w:rPr>
            </w:pPr>
            <w:r>
              <w:rPr>
                <w:sz w:val="20"/>
              </w:rPr>
              <w:t>RRH–in a single project to serve individuals and families experiencing</w:t>
            </w:r>
            <w:r>
              <w:rPr>
                <w:spacing w:val="-33"/>
                <w:sz w:val="20"/>
              </w:rPr>
              <w:t xml:space="preserve"> </w:t>
            </w:r>
            <w:r>
              <w:rPr>
                <w:sz w:val="20"/>
              </w:rPr>
              <w:t>homelessness.</w:t>
            </w:r>
          </w:p>
        </w:tc>
      </w:tr>
      <w:tr w:rsidR="00531D5F" w14:paraId="1322C1AD" w14:textId="77777777">
        <w:trPr>
          <w:trHeight w:val="338"/>
        </w:trPr>
        <w:tc>
          <w:tcPr>
            <w:tcW w:w="2158" w:type="dxa"/>
          </w:tcPr>
          <w:p w14:paraId="1322C1AB" w14:textId="77777777" w:rsidR="00531D5F" w:rsidRDefault="002D137C">
            <w:pPr>
              <w:pStyle w:val="TableParagraph"/>
              <w:spacing w:before="49"/>
              <w:ind w:left="126" w:right="122"/>
              <w:jc w:val="center"/>
              <w:rPr>
                <w:sz w:val="20"/>
              </w:rPr>
            </w:pPr>
            <w:r>
              <w:rPr>
                <w:sz w:val="20"/>
              </w:rPr>
              <w:t>Transition-age Youth</w:t>
            </w:r>
          </w:p>
        </w:tc>
        <w:tc>
          <w:tcPr>
            <w:tcW w:w="7267" w:type="dxa"/>
          </w:tcPr>
          <w:p w14:paraId="1322C1AC" w14:textId="77777777" w:rsidR="00531D5F" w:rsidRDefault="002D137C">
            <w:pPr>
              <w:pStyle w:val="TableParagraph"/>
              <w:spacing w:before="49"/>
              <w:rPr>
                <w:sz w:val="20"/>
              </w:rPr>
            </w:pPr>
            <w:r>
              <w:rPr>
                <w:sz w:val="20"/>
              </w:rPr>
              <w:t>Individuals between age 18 and 24 years.</w:t>
            </w:r>
          </w:p>
        </w:tc>
      </w:tr>
      <w:tr w:rsidR="00531D5F" w14:paraId="1322C1B3" w14:textId="77777777">
        <w:trPr>
          <w:trHeight w:val="1494"/>
        </w:trPr>
        <w:tc>
          <w:tcPr>
            <w:tcW w:w="2158" w:type="dxa"/>
          </w:tcPr>
          <w:p w14:paraId="1322C1AE" w14:textId="77777777" w:rsidR="00531D5F" w:rsidRDefault="00531D5F">
            <w:pPr>
              <w:pStyle w:val="TableParagraph"/>
              <w:ind w:left="0"/>
              <w:rPr>
                <w:sz w:val="20"/>
              </w:rPr>
            </w:pPr>
          </w:p>
          <w:p w14:paraId="1322C1AF" w14:textId="77777777" w:rsidR="00531D5F" w:rsidRDefault="00531D5F">
            <w:pPr>
              <w:pStyle w:val="TableParagraph"/>
              <w:ind w:left="0"/>
              <w:rPr>
                <w:sz w:val="20"/>
              </w:rPr>
            </w:pPr>
          </w:p>
          <w:p w14:paraId="1322C1B0" w14:textId="77777777" w:rsidR="00531D5F" w:rsidRDefault="002D137C">
            <w:pPr>
              <w:pStyle w:val="TableParagraph"/>
              <w:spacing w:before="137"/>
              <w:ind w:left="126" w:right="119"/>
              <w:jc w:val="center"/>
              <w:rPr>
                <w:sz w:val="20"/>
              </w:rPr>
            </w:pPr>
            <w:r>
              <w:rPr>
                <w:sz w:val="20"/>
              </w:rPr>
              <w:t>Transitional Housing</w:t>
            </w:r>
          </w:p>
        </w:tc>
        <w:tc>
          <w:tcPr>
            <w:tcW w:w="7267" w:type="dxa"/>
          </w:tcPr>
          <w:p w14:paraId="1322C1B1" w14:textId="77777777" w:rsidR="00531D5F" w:rsidRDefault="002D137C">
            <w:pPr>
              <w:pStyle w:val="TableParagraph"/>
              <w:spacing w:before="15"/>
              <w:ind w:right="83"/>
              <w:rPr>
                <w:sz w:val="20"/>
              </w:rPr>
            </w:pPr>
            <w:r>
              <w:rPr>
                <w:sz w:val="20"/>
              </w:rPr>
              <w:t>Transitional housing (TH) is designed to provide homeless individuals and families with the interim stability and support to successfully move to and maintain permanent housing. Transitional housing may be used to cover the costs of up to 24 months of housing with accompanying supportive services. Program participants must have a lease (or sublease) or occupancy agreement in place when residing in transitional</w:t>
            </w:r>
          </w:p>
          <w:p w14:paraId="1322C1B2" w14:textId="77777777" w:rsidR="00531D5F" w:rsidRDefault="002D137C">
            <w:pPr>
              <w:pStyle w:val="TableParagraph"/>
              <w:spacing w:before="1" w:line="237" w:lineRule="exact"/>
              <w:rPr>
                <w:sz w:val="20"/>
              </w:rPr>
            </w:pPr>
            <w:r>
              <w:rPr>
                <w:sz w:val="20"/>
              </w:rPr>
              <w:t>housing.</w:t>
            </w:r>
          </w:p>
        </w:tc>
      </w:tr>
      <w:tr w:rsidR="00531D5F" w14:paraId="1322C1B8" w14:textId="77777777">
        <w:trPr>
          <w:trHeight w:val="1007"/>
        </w:trPr>
        <w:tc>
          <w:tcPr>
            <w:tcW w:w="2158" w:type="dxa"/>
          </w:tcPr>
          <w:p w14:paraId="1322C1B4" w14:textId="77777777" w:rsidR="00531D5F" w:rsidRDefault="00531D5F">
            <w:pPr>
              <w:pStyle w:val="TableParagraph"/>
              <w:ind w:left="0"/>
              <w:rPr>
                <w:sz w:val="20"/>
              </w:rPr>
            </w:pPr>
          </w:p>
          <w:p w14:paraId="1322C1B5" w14:textId="77777777" w:rsidR="00531D5F" w:rsidRDefault="002D137C">
            <w:pPr>
              <w:pStyle w:val="TableParagraph"/>
              <w:spacing w:before="139"/>
              <w:ind w:left="126" w:right="123"/>
              <w:jc w:val="center"/>
              <w:rPr>
                <w:sz w:val="20"/>
              </w:rPr>
            </w:pPr>
            <w:r>
              <w:rPr>
                <w:sz w:val="20"/>
              </w:rPr>
              <w:t>Trauma-Informed Care</w:t>
            </w:r>
          </w:p>
        </w:tc>
        <w:tc>
          <w:tcPr>
            <w:tcW w:w="7267" w:type="dxa"/>
          </w:tcPr>
          <w:p w14:paraId="1322C1B6" w14:textId="77777777" w:rsidR="00531D5F" w:rsidRDefault="002D137C">
            <w:pPr>
              <w:pStyle w:val="TableParagraph"/>
              <w:spacing w:before="15"/>
              <w:rPr>
                <w:sz w:val="20"/>
              </w:rPr>
            </w:pPr>
            <w:r>
              <w:rPr>
                <w:sz w:val="20"/>
              </w:rPr>
              <w:t>An approach that recognizes the widespread impact of trauma and understands potential paths for recovery; recognizes the signs and symptoms of trauma in clients, families, staff, and others; responds by fully integrating knowledge about trauma into</w:t>
            </w:r>
          </w:p>
          <w:p w14:paraId="1322C1B7" w14:textId="77777777" w:rsidR="00531D5F" w:rsidRDefault="002D137C">
            <w:pPr>
              <w:pStyle w:val="TableParagraph"/>
              <w:spacing w:line="239" w:lineRule="exact"/>
              <w:rPr>
                <w:sz w:val="20"/>
              </w:rPr>
            </w:pPr>
            <w:r>
              <w:rPr>
                <w:sz w:val="20"/>
              </w:rPr>
              <w:t>policies, procedures, and practices; and seeks to actively resist re-traumatization.</w:t>
            </w:r>
          </w:p>
        </w:tc>
      </w:tr>
      <w:tr w:rsidR="00531D5F" w14:paraId="1322C1BD" w14:textId="77777777">
        <w:trPr>
          <w:trHeight w:val="1005"/>
        </w:trPr>
        <w:tc>
          <w:tcPr>
            <w:tcW w:w="2158" w:type="dxa"/>
          </w:tcPr>
          <w:p w14:paraId="1322C1B9" w14:textId="77777777" w:rsidR="00531D5F" w:rsidRDefault="00531D5F">
            <w:pPr>
              <w:pStyle w:val="TableParagraph"/>
              <w:ind w:left="0"/>
              <w:rPr>
                <w:sz w:val="20"/>
              </w:rPr>
            </w:pPr>
          </w:p>
          <w:p w14:paraId="1322C1BA" w14:textId="77777777" w:rsidR="00531D5F" w:rsidRDefault="002D137C">
            <w:pPr>
              <w:pStyle w:val="TableParagraph"/>
              <w:spacing w:before="136"/>
              <w:ind w:left="126" w:right="120"/>
              <w:jc w:val="center"/>
              <w:rPr>
                <w:sz w:val="20"/>
              </w:rPr>
            </w:pPr>
            <w:r>
              <w:rPr>
                <w:sz w:val="20"/>
              </w:rPr>
              <w:t>Unaccompanied Youth</w:t>
            </w:r>
          </w:p>
        </w:tc>
        <w:tc>
          <w:tcPr>
            <w:tcW w:w="7267" w:type="dxa"/>
          </w:tcPr>
          <w:p w14:paraId="1322C1BB" w14:textId="77777777" w:rsidR="00531D5F" w:rsidRDefault="002D137C">
            <w:pPr>
              <w:pStyle w:val="TableParagraph"/>
              <w:spacing w:before="15"/>
              <w:ind w:right="45"/>
              <w:rPr>
                <w:sz w:val="20"/>
              </w:rPr>
            </w:pPr>
            <w:r>
              <w:rPr>
                <w:sz w:val="20"/>
              </w:rPr>
              <w:t>Persons who are age 24 years or younger, who are not part of a family with children and who are not accompanied by their parent or guardian during their episode of homelessness. This also includes two or more youth aged 24 years or younger who are</w:t>
            </w:r>
          </w:p>
          <w:p w14:paraId="1322C1BC" w14:textId="77777777" w:rsidR="00531D5F" w:rsidRDefault="002D137C">
            <w:pPr>
              <w:pStyle w:val="TableParagraph"/>
              <w:spacing w:before="1" w:line="237" w:lineRule="exact"/>
              <w:rPr>
                <w:sz w:val="20"/>
              </w:rPr>
            </w:pPr>
            <w:r>
              <w:rPr>
                <w:sz w:val="20"/>
              </w:rPr>
              <w:t>presenting together as a family without children.</w:t>
            </w:r>
          </w:p>
        </w:tc>
      </w:tr>
      <w:tr w:rsidR="00531D5F" w14:paraId="1322C1C2" w14:textId="77777777">
        <w:trPr>
          <w:trHeight w:val="762"/>
        </w:trPr>
        <w:tc>
          <w:tcPr>
            <w:tcW w:w="2158" w:type="dxa"/>
          </w:tcPr>
          <w:p w14:paraId="1322C1BE" w14:textId="77777777" w:rsidR="00531D5F" w:rsidRDefault="00531D5F">
            <w:pPr>
              <w:pStyle w:val="TableParagraph"/>
              <w:spacing w:before="4"/>
              <w:ind w:left="0"/>
              <w:rPr>
                <w:sz w:val="21"/>
              </w:rPr>
            </w:pPr>
          </w:p>
          <w:p w14:paraId="1322C1BF" w14:textId="77777777" w:rsidR="00531D5F" w:rsidRDefault="002D137C">
            <w:pPr>
              <w:pStyle w:val="TableParagraph"/>
              <w:ind w:left="126" w:right="121"/>
              <w:jc w:val="center"/>
              <w:rPr>
                <w:sz w:val="20"/>
              </w:rPr>
            </w:pPr>
            <w:r>
              <w:rPr>
                <w:sz w:val="20"/>
              </w:rPr>
              <w:t>USICH</w:t>
            </w:r>
          </w:p>
        </w:tc>
        <w:tc>
          <w:tcPr>
            <w:tcW w:w="7267" w:type="dxa"/>
          </w:tcPr>
          <w:p w14:paraId="1322C1C0" w14:textId="77777777" w:rsidR="00531D5F" w:rsidRDefault="002D137C">
            <w:pPr>
              <w:pStyle w:val="TableParagraph"/>
              <w:spacing w:before="15"/>
              <w:rPr>
                <w:sz w:val="20"/>
              </w:rPr>
            </w:pPr>
            <w:r>
              <w:rPr>
                <w:sz w:val="20"/>
              </w:rPr>
              <w:t>United States Interagency Council on Homelessness is an independent federal agency within the US executive branch that leads the implementation of the</w:t>
            </w:r>
          </w:p>
          <w:p w14:paraId="1322C1C1" w14:textId="77777777" w:rsidR="00531D5F" w:rsidRDefault="002D137C">
            <w:pPr>
              <w:pStyle w:val="TableParagraph"/>
              <w:spacing w:before="2" w:line="237" w:lineRule="exact"/>
              <w:rPr>
                <w:sz w:val="20"/>
              </w:rPr>
            </w:pPr>
            <w:r>
              <w:rPr>
                <w:sz w:val="20"/>
              </w:rPr>
              <w:t>federal strategic plan to prevent and end homelessness</w:t>
            </w:r>
          </w:p>
        </w:tc>
      </w:tr>
      <w:tr w:rsidR="00531D5F" w14:paraId="1322C1C6" w14:textId="77777777">
        <w:trPr>
          <w:trHeight w:val="645"/>
        </w:trPr>
        <w:tc>
          <w:tcPr>
            <w:tcW w:w="2158" w:type="dxa"/>
          </w:tcPr>
          <w:p w14:paraId="1322C1C3" w14:textId="77777777" w:rsidR="00531D5F" w:rsidRDefault="00531D5F">
            <w:pPr>
              <w:pStyle w:val="TableParagraph"/>
              <w:spacing w:before="5"/>
              <w:ind w:left="0"/>
              <w:rPr>
                <w:sz w:val="16"/>
              </w:rPr>
            </w:pPr>
          </w:p>
          <w:p w14:paraId="1322C1C4" w14:textId="77777777" w:rsidR="00531D5F" w:rsidRDefault="002D137C">
            <w:pPr>
              <w:pStyle w:val="TableParagraph"/>
              <w:ind w:left="126" w:right="122"/>
              <w:jc w:val="center"/>
              <w:rPr>
                <w:sz w:val="20"/>
              </w:rPr>
            </w:pPr>
            <w:r>
              <w:rPr>
                <w:sz w:val="20"/>
              </w:rPr>
              <w:t>YAB</w:t>
            </w:r>
          </w:p>
        </w:tc>
        <w:tc>
          <w:tcPr>
            <w:tcW w:w="7267" w:type="dxa"/>
          </w:tcPr>
          <w:p w14:paraId="1322C1C5" w14:textId="77777777" w:rsidR="00531D5F" w:rsidRDefault="002D137C">
            <w:pPr>
              <w:pStyle w:val="TableParagraph"/>
              <w:spacing w:before="78"/>
              <w:rPr>
                <w:sz w:val="20"/>
              </w:rPr>
            </w:pPr>
            <w:r>
              <w:rPr>
                <w:sz w:val="20"/>
              </w:rPr>
              <w:t>Youth Action Board, a group of youth included in CoC decisions, particularly on policies that relate to preventing and ending youth homelessness. Each YAB member is age 24</w:t>
            </w:r>
          </w:p>
        </w:tc>
      </w:tr>
    </w:tbl>
    <w:p w14:paraId="1322C1C7" w14:textId="77777777" w:rsidR="00531D5F" w:rsidRDefault="00531D5F">
      <w:pPr>
        <w:rPr>
          <w:sz w:val="20"/>
        </w:rPr>
        <w:sectPr w:rsidR="00531D5F">
          <w:pgSz w:w="12240" w:h="15840"/>
          <w:pgMar w:top="1440" w:right="1280" w:bottom="280" w:left="130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267"/>
      </w:tblGrid>
      <w:tr w:rsidR="00531D5F" w14:paraId="1322C1CA" w14:textId="77777777">
        <w:trPr>
          <w:trHeight w:val="645"/>
        </w:trPr>
        <w:tc>
          <w:tcPr>
            <w:tcW w:w="2158" w:type="dxa"/>
          </w:tcPr>
          <w:p w14:paraId="1322C1C8" w14:textId="77777777" w:rsidR="00531D5F" w:rsidRDefault="00531D5F">
            <w:pPr>
              <w:pStyle w:val="TableParagraph"/>
              <w:ind w:left="0"/>
              <w:rPr>
                <w:rFonts w:ascii="Times New Roman"/>
                <w:sz w:val="20"/>
              </w:rPr>
            </w:pPr>
          </w:p>
        </w:tc>
        <w:tc>
          <w:tcPr>
            <w:tcW w:w="7267" w:type="dxa"/>
          </w:tcPr>
          <w:p w14:paraId="1322C1C9" w14:textId="77777777" w:rsidR="00531D5F" w:rsidRDefault="002D137C">
            <w:pPr>
              <w:pStyle w:val="TableParagraph"/>
              <w:spacing w:before="15"/>
              <w:ind w:right="158"/>
              <w:rPr>
                <w:sz w:val="20"/>
              </w:rPr>
            </w:pPr>
            <w:r>
              <w:rPr>
                <w:sz w:val="20"/>
              </w:rPr>
              <w:t>years or younger and at least two-thirds of the YAB members are homeless or formerly homeless.</w:t>
            </w:r>
          </w:p>
        </w:tc>
      </w:tr>
      <w:tr w:rsidR="00531D5F" w14:paraId="1322C1CD" w14:textId="77777777">
        <w:trPr>
          <w:trHeight w:val="517"/>
        </w:trPr>
        <w:tc>
          <w:tcPr>
            <w:tcW w:w="2158" w:type="dxa"/>
          </w:tcPr>
          <w:p w14:paraId="1322C1CB" w14:textId="77777777" w:rsidR="00531D5F" w:rsidRDefault="002D137C">
            <w:pPr>
              <w:pStyle w:val="TableParagraph"/>
              <w:spacing w:before="138"/>
              <w:ind w:left="126" w:right="120"/>
              <w:jc w:val="center"/>
              <w:rPr>
                <w:sz w:val="20"/>
              </w:rPr>
            </w:pPr>
            <w:r>
              <w:rPr>
                <w:sz w:val="20"/>
              </w:rPr>
              <w:t>YHDP</w:t>
            </w:r>
          </w:p>
        </w:tc>
        <w:tc>
          <w:tcPr>
            <w:tcW w:w="7267" w:type="dxa"/>
          </w:tcPr>
          <w:p w14:paraId="1322C1CC" w14:textId="77777777" w:rsidR="00531D5F" w:rsidRDefault="002D137C">
            <w:pPr>
              <w:pStyle w:val="TableParagraph"/>
              <w:spacing w:before="15" w:line="240" w:lineRule="atLeast"/>
              <w:rPr>
                <w:sz w:val="20"/>
              </w:rPr>
            </w:pPr>
            <w:r>
              <w:rPr>
                <w:sz w:val="20"/>
              </w:rPr>
              <w:t>Youth Homelessness Demonstration Program, a HUD initiative to help communities drastically reduce youth homelessness through innovative strategies.</w:t>
            </w:r>
          </w:p>
        </w:tc>
      </w:tr>
      <w:tr w:rsidR="00531D5F" w14:paraId="1322C1D0" w14:textId="77777777">
        <w:trPr>
          <w:trHeight w:val="337"/>
        </w:trPr>
        <w:tc>
          <w:tcPr>
            <w:tcW w:w="2158" w:type="dxa"/>
          </w:tcPr>
          <w:p w14:paraId="1322C1CE" w14:textId="77777777" w:rsidR="00531D5F" w:rsidRDefault="002D137C">
            <w:pPr>
              <w:pStyle w:val="TableParagraph"/>
              <w:spacing w:before="47"/>
              <w:ind w:left="126" w:right="122"/>
              <w:jc w:val="center"/>
              <w:rPr>
                <w:sz w:val="20"/>
              </w:rPr>
            </w:pPr>
            <w:r>
              <w:rPr>
                <w:sz w:val="20"/>
              </w:rPr>
              <w:t>Youth</w:t>
            </w:r>
          </w:p>
        </w:tc>
        <w:tc>
          <w:tcPr>
            <w:tcW w:w="7267" w:type="dxa"/>
          </w:tcPr>
          <w:p w14:paraId="1322C1CF" w14:textId="77777777" w:rsidR="00531D5F" w:rsidRDefault="002D137C">
            <w:pPr>
              <w:pStyle w:val="TableParagraph"/>
              <w:spacing w:before="47"/>
              <w:rPr>
                <w:sz w:val="20"/>
              </w:rPr>
            </w:pPr>
            <w:r>
              <w:rPr>
                <w:sz w:val="20"/>
              </w:rPr>
              <w:t>A person who is under the age of 25 years.</w:t>
            </w:r>
          </w:p>
        </w:tc>
      </w:tr>
      <w:tr w:rsidR="00531D5F" w14:paraId="1322C1D3" w14:textId="77777777">
        <w:trPr>
          <w:trHeight w:val="335"/>
        </w:trPr>
        <w:tc>
          <w:tcPr>
            <w:tcW w:w="2158" w:type="dxa"/>
          </w:tcPr>
          <w:p w14:paraId="1322C1D1" w14:textId="77777777" w:rsidR="00531D5F" w:rsidRDefault="002D137C">
            <w:pPr>
              <w:pStyle w:val="TableParagraph"/>
              <w:spacing w:before="47"/>
              <w:ind w:left="126" w:right="121"/>
              <w:jc w:val="center"/>
              <w:rPr>
                <w:sz w:val="20"/>
              </w:rPr>
            </w:pPr>
            <w:r>
              <w:rPr>
                <w:sz w:val="20"/>
              </w:rPr>
              <w:t>YYA</w:t>
            </w:r>
          </w:p>
        </w:tc>
        <w:tc>
          <w:tcPr>
            <w:tcW w:w="7267" w:type="dxa"/>
          </w:tcPr>
          <w:p w14:paraId="1322C1D2" w14:textId="77777777" w:rsidR="00531D5F" w:rsidRDefault="002D137C">
            <w:pPr>
              <w:pStyle w:val="TableParagraph"/>
              <w:spacing w:before="47"/>
              <w:ind w:left="152"/>
              <w:rPr>
                <w:sz w:val="20"/>
              </w:rPr>
            </w:pPr>
            <w:r>
              <w:rPr>
                <w:sz w:val="20"/>
              </w:rPr>
              <w:t>Youth and Young Adults</w:t>
            </w:r>
          </w:p>
        </w:tc>
      </w:tr>
    </w:tbl>
    <w:p w14:paraId="1322C1D7" w14:textId="77777777" w:rsidR="00531D5F" w:rsidRDefault="00531D5F">
      <w:pPr>
        <w:pStyle w:val="BodyText"/>
        <w:ind w:left="0"/>
        <w:rPr>
          <w:sz w:val="20"/>
        </w:rPr>
      </w:pPr>
    </w:p>
    <w:p w14:paraId="1322C1D8" w14:textId="77777777" w:rsidR="00531D5F" w:rsidRDefault="002D137C">
      <w:pPr>
        <w:tabs>
          <w:tab w:val="left" w:pos="9530"/>
        </w:tabs>
        <w:spacing w:before="184"/>
        <w:ind w:left="111"/>
        <w:rPr>
          <w:b/>
        </w:rPr>
      </w:pPr>
      <w:r>
        <w:rPr>
          <w:b/>
          <w:color w:val="FFFFFF"/>
          <w:spacing w:val="-22"/>
          <w:shd w:val="clear" w:color="auto" w:fill="00748B"/>
        </w:rPr>
        <w:t xml:space="preserve"> </w:t>
      </w:r>
      <w:r>
        <w:rPr>
          <w:b/>
          <w:color w:val="FFFFFF"/>
          <w:shd w:val="clear" w:color="auto" w:fill="00748B"/>
        </w:rPr>
        <w:t>HUD Homelessness</w:t>
      </w:r>
      <w:r>
        <w:rPr>
          <w:b/>
          <w:color w:val="FFFFFF"/>
          <w:spacing w:val="-10"/>
          <w:shd w:val="clear" w:color="auto" w:fill="00748B"/>
        </w:rPr>
        <w:t xml:space="preserve"> </w:t>
      </w:r>
      <w:r>
        <w:rPr>
          <w:b/>
          <w:color w:val="FFFFFF"/>
          <w:shd w:val="clear" w:color="auto" w:fill="00748B"/>
        </w:rPr>
        <w:t>Categories:</w:t>
      </w:r>
      <w:r>
        <w:rPr>
          <w:b/>
          <w:color w:val="FFFFFF"/>
          <w:shd w:val="clear" w:color="auto" w:fill="00748B"/>
        </w:rPr>
        <w:tab/>
      </w:r>
    </w:p>
    <w:p w14:paraId="1322C1D9" w14:textId="77777777" w:rsidR="00531D5F" w:rsidRDefault="002D137C">
      <w:pPr>
        <w:pStyle w:val="BodyText"/>
        <w:spacing w:before="159"/>
        <w:ind w:right="188"/>
      </w:pPr>
      <w:r>
        <w:rPr>
          <w:b/>
          <w:color w:val="00748B"/>
        </w:rPr>
        <w:t xml:space="preserve">Category 1, </w:t>
      </w:r>
      <w:r>
        <w:t>Literal Homelessness: Individuals and families who live in a place not meant for human habitation (including the streets or in their car), emergency shelter, transitional housing, and hotels paid for by a government or charitable organization.</w:t>
      </w:r>
    </w:p>
    <w:p w14:paraId="1322C1DA" w14:textId="77777777" w:rsidR="00531D5F" w:rsidRDefault="002D137C">
      <w:pPr>
        <w:pStyle w:val="BodyText"/>
        <w:spacing w:before="160"/>
        <w:ind w:right="179"/>
      </w:pPr>
      <w:r>
        <w:rPr>
          <w:b/>
          <w:color w:val="00748B"/>
        </w:rPr>
        <w:t xml:space="preserve">Category 2, </w:t>
      </w:r>
      <w:r>
        <w:t>Imminent Risk of Homelessness: Individuals or families who will lose their primary nighttime residence within 14 days and have no other resources or support networks to obtain other permanent housing.</w:t>
      </w:r>
    </w:p>
    <w:p w14:paraId="1322C1DB" w14:textId="77777777" w:rsidR="00531D5F" w:rsidRDefault="002D137C">
      <w:pPr>
        <w:pStyle w:val="BodyText"/>
        <w:spacing w:before="161"/>
        <w:ind w:right="378"/>
      </w:pPr>
      <w:r>
        <w:rPr>
          <w:b/>
          <w:color w:val="00748B"/>
        </w:rPr>
        <w:t xml:space="preserve">Category 3, </w:t>
      </w:r>
      <w:r>
        <w:t>Homeless Under Other Statutes: Unaccompanied youth under 25 years of age, or families with children and youth, who do not meet any of the other categories but are homeless under other federal statutes, have not had a lease, and have moved two or more times in the past 60 days and can be expected to remain unstable due to special needs or barriers.</w:t>
      </w:r>
    </w:p>
    <w:p w14:paraId="1322C1DC" w14:textId="77777777" w:rsidR="00531D5F" w:rsidRDefault="002D137C">
      <w:pPr>
        <w:pStyle w:val="BodyText"/>
        <w:spacing w:before="160"/>
        <w:ind w:right="173"/>
      </w:pPr>
      <w:r>
        <w:rPr>
          <w:b/>
          <w:color w:val="00748B"/>
        </w:rPr>
        <w:t xml:space="preserve">Category 4, </w:t>
      </w:r>
      <w:r>
        <w:t>Fleeing Domestic Violence: Individuals or families who are fleeing or attempting to flee their housing or the place they are staying because of domestic violence, dating violence, sexual assault, stalking, or other dangerous or life-threatening conditions related to violence that has taken place in the house or has made them afraid to return to the house, including trading sex for housing, trafficking, physical abuse, violence (or perceived threat of violence) because of the youth’s sexual orientation, and who lack resources or support networks to maintain or obtain permanent housing.</w:t>
      </w:r>
    </w:p>
    <w:sectPr w:rsidR="00531D5F">
      <w:pgSz w:w="12240" w:h="15840"/>
      <w:pgMar w:top="144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5F"/>
    <w:rsid w:val="00130DFD"/>
    <w:rsid w:val="001F65F3"/>
    <w:rsid w:val="002D137C"/>
    <w:rsid w:val="003849B8"/>
    <w:rsid w:val="004167F5"/>
    <w:rsid w:val="00531D5F"/>
    <w:rsid w:val="00595053"/>
    <w:rsid w:val="005A5B5C"/>
    <w:rsid w:val="00670CCD"/>
    <w:rsid w:val="00722106"/>
    <w:rsid w:val="007D342E"/>
    <w:rsid w:val="00C1424B"/>
    <w:rsid w:val="00CE0460"/>
    <w:rsid w:val="00CF7B57"/>
    <w:rsid w:val="00F6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C105"/>
  <w15:docId w15:val="{CFF4A845-E25F-46B9-989F-5FFFD879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Quana Smith</dc:creator>
  <cp:lastModifiedBy>Christine O'Connell</cp:lastModifiedBy>
  <cp:revision>13</cp:revision>
  <dcterms:created xsi:type="dcterms:W3CDTF">2023-04-27T13:35:00Z</dcterms:created>
  <dcterms:modified xsi:type="dcterms:W3CDTF">2023-04-27T13:45:00Z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for Microsoft 365</vt:lpwstr>
  </property>
  <property fmtid="{D5CDD505-2E9C-101B-9397-08002B2CF9AE}" pid="4" name="LastSaved">
    <vt:filetime>2023-04-27T00:00:00Z</vt:filetime>
  </property>
</Properties>
</file>